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comments.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12" w:before="0" w:after="288"/>
        <w:jc w:val="center"/>
        <w:rPr>
          <w:color w:val="000000"/>
        </w:rPr>
      </w:pPr>
      <w:bookmarkStart w:id="0" w:name="_Hlk82471863"/>
      <w:r>
        <w:rPr>
          <w:rFonts w:cs="Arial" w:ascii="Arial" w:hAnsi="Arial"/>
          <w:b/>
          <w:bCs/>
          <w:i w:val="false"/>
          <w:iCs w:val="false"/>
          <w:color w:val="000000" w:themeColor="text1"/>
          <w:sz w:val="20"/>
          <w:szCs w:val="20"/>
        </w:rPr>
        <w:t>TERMO DE REFERÊNCIA</w:t>
      </w:r>
    </w:p>
    <w:p>
      <w:pPr>
        <w:pStyle w:val="Normal"/>
        <w:spacing w:lineRule="auto" w:line="312" w:before="120" w:after="288"/>
        <w:jc w:val="center"/>
        <w:rPr>
          <w:color w:val="000000"/>
        </w:rPr>
      </w:pPr>
      <w:r>
        <w:rPr>
          <w:color w:val="000000"/>
        </w:rPr>
        <w:t>(Processo Administrativo n° 23337.251766.2025-11)</w:t>
      </w:r>
    </w:p>
    <w:p>
      <w:pPr>
        <w:pStyle w:val="Nivel01"/>
        <w:numPr>
          <w:ilvl w:val="0"/>
          <w:numId w:val="3"/>
        </w:numPr>
        <w:ind w:left="357" w:hanging="357"/>
        <w:rPr>
          <w:color w:val="000000"/>
        </w:rPr>
      </w:pPr>
      <w:r>
        <w:rPr>
          <w:i w:val="false"/>
          <w:iCs w:val="false"/>
          <w:color w:val="000000"/>
        </w:rPr>
        <w:t>CONDIÇÕES GERAIS DA CONTRATAÇÃO</w:t>
      </w:r>
    </w:p>
    <w:p>
      <w:pPr>
        <w:pStyle w:val="Nvel02"/>
        <w:numPr>
          <w:ilvl w:val="1"/>
          <w:numId w:val="3"/>
        </w:numPr>
        <w:ind w:left="0" w:right="0" w:hanging="0"/>
        <w:rPr>
          <w:color w:val="000000"/>
        </w:rPr>
      </w:pPr>
      <w:bookmarkStart w:id="1" w:name="_Ref172096041"/>
      <w:r>
        <w:rPr>
          <w:i w:val="false"/>
          <w:iCs w:val="false"/>
          <w:color w:val="000000"/>
        </w:rPr>
        <w:t xml:space="preserve">Aquisição de </w:t>
      </w:r>
      <w:r>
        <w:rPr>
          <w:rFonts w:cs="Times New Roman" w:ascii="Times New Roman" w:hAnsi="Times New Roman"/>
          <w:i w:val="false"/>
          <w:iCs w:val="false"/>
          <w:color w:val="000000"/>
          <w:sz w:val="22"/>
          <w:szCs w:val="22"/>
        </w:rPr>
        <w:t>gêneros alimentícios da agricultura familiar para o IF Baiano – Campus Governador Mangabeira, através de Chamada Pública, em atendimento ao Programa Nacional de Alimentação Escolar – PNAE.</w:t>
      </w:r>
      <w:r>
        <w:rPr>
          <w:i w:val="false"/>
          <w:iCs w:val="false"/>
          <w:color w:val="000000"/>
        </w:rPr>
        <w:t xml:space="preserve"> nos termos da tabela abaixo, conforme condições e exigências estabelecidas neste instrumento.</w:t>
      </w:r>
      <w:bookmarkEnd w:id="1"/>
    </w:p>
    <w:tbl>
      <w:tblPr>
        <w:tblW w:w="96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790"/>
        <w:gridCol w:w="3180"/>
        <w:gridCol w:w="1190"/>
        <w:gridCol w:w="850"/>
        <w:gridCol w:w="1020"/>
        <w:gridCol w:w="1130"/>
        <w:gridCol w:w="1478"/>
      </w:tblGrid>
      <w:tr>
        <w:trPr>
          <w:trHeight w:val="851" w:hRule="exact"/>
        </w:trPr>
        <w:tc>
          <w:tcPr>
            <w:tcW w:w="79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312" w:before="120" w:after="288"/>
              <w:jc w:val="center"/>
              <w:rPr>
                <w:i w:val="false"/>
                <w:i w:val="false"/>
                <w:iCs w:val="false"/>
                <w:color w:val="000000"/>
                <w:sz w:val="18"/>
                <w:szCs w:val="18"/>
              </w:rPr>
            </w:pPr>
            <w:commentRangeStart w:id="0"/>
            <w:r>
              <w:rPr>
                <w:rFonts w:ascii="Arial" w:hAnsi="Arial"/>
                <w:b/>
                <w:i w:val="false"/>
                <w:iCs w:val="false"/>
                <w:color w:val="000000"/>
                <w:sz w:val="18"/>
                <w:szCs w:val="18"/>
              </w:rPr>
              <w:t>ITEM</w:t>
            </w:r>
          </w:p>
        </w:tc>
        <w:tc>
          <w:tcPr>
            <w:tcW w:w="318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312" w:before="120" w:after="288"/>
              <w:jc w:val="center"/>
              <w:rPr>
                <w:i w:val="false"/>
                <w:i w:val="false"/>
                <w:iCs w:val="false"/>
                <w:color w:val="000000"/>
                <w:sz w:val="18"/>
                <w:szCs w:val="18"/>
              </w:rPr>
            </w:pPr>
            <w:r>
              <w:rPr>
                <w:rFonts w:ascii="Arial" w:hAnsi="Arial"/>
                <w:b/>
                <w:i w:val="false"/>
                <w:iCs w:val="false"/>
                <w:color w:val="000000"/>
                <w:sz w:val="18"/>
                <w:szCs w:val="18"/>
              </w:rPr>
              <w:t>ESPECIFICAÇÃO</w:t>
            </w:r>
          </w:p>
        </w:tc>
        <w:tc>
          <w:tcPr>
            <w:tcW w:w="119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312" w:before="120" w:after="288"/>
              <w:jc w:val="center"/>
              <w:rPr>
                <w:i w:val="false"/>
                <w:i w:val="false"/>
                <w:iCs w:val="false"/>
                <w:color w:val="000000"/>
                <w:sz w:val="18"/>
                <w:szCs w:val="18"/>
              </w:rPr>
            </w:pPr>
            <w:r>
              <w:rPr>
                <w:rFonts w:cs="Arial" w:ascii="Arial" w:hAnsi="Arial"/>
                <w:b/>
                <w:bCs/>
                <w:i w:val="false"/>
                <w:iCs w:val="false"/>
                <w:color w:val="000000"/>
                <w:sz w:val="18"/>
                <w:szCs w:val="18"/>
              </w:rPr>
              <w:t>CATMAT</w:t>
            </w:r>
          </w:p>
        </w:tc>
        <w:tc>
          <w:tcPr>
            <w:tcW w:w="85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312" w:before="120" w:after="288"/>
              <w:jc w:val="center"/>
              <w:rPr>
                <w:i w:val="false"/>
                <w:i w:val="false"/>
                <w:iCs w:val="false"/>
                <w:color w:val="000000"/>
                <w:sz w:val="18"/>
                <w:szCs w:val="18"/>
              </w:rPr>
            </w:pPr>
            <w:r>
              <w:rPr>
                <w:rFonts w:cs="Arial" w:ascii="Arial" w:hAnsi="Arial"/>
                <w:b/>
                <w:i w:val="false"/>
                <w:iCs w:val="false"/>
                <w:color w:val="000000"/>
                <w:sz w:val="18"/>
                <w:szCs w:val="18"/>
              </w:rPr>
              <w:t>QTD</w:t>
            </w:r>
          </w:p>
        </w:tc>
        <w:tc>
          <w:tcPr>
            <w:tcW w:w="102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312" w:before="120" w:after="288"/>
              <w:jc w:val="center"/>
              <w:rPr>
                <w:i w:val="false"/>
                <w:i w:val="false"/>
                <w:iCs w:val="false"/>
                <w:color w:val="000000"/>
                <w:sz w:val="18"/>
                <w:szCs w:val="18"/>
              </w:rPr>
            </w:pPr>
            <w:r>
              <w:rPr>
                <w:rFonts w:cs="Arial" w:ascii="Arial" w:hAnsi="Arial"/>
                <w:b/>
                <w:bCs/>
                <w:i w:val="false"/>
                <w:iCs w:val="false"/>
                <w:color w:val="000000"/>
                <w:sz w:val="18"/>
                <w:szCs w:val="18"/>
              </w:rPr>
              <w:t>U.M.</w:t>
            </w:r>
          </w:p>
        </w:tc>
        <w:tc>
          <w:tcPr>
            <w:tcW w:w="113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312" w:before="120" w:after="288"/>
              <w:jc w:val="center"/>
              <w:rPr>
                <w:i w:val="false"/>
                <w:i w:val="false"/>
                <w:iCs w:val="false"/>
                <w:color w:val="000000"/>
                <w:sz w:val="18"/>
                <w:szCs w:val="18"/>
              </w:rPr>
            </w:pPr>
            <w:r>
              <w:rPr>
                <w:rFonts w:cs="Arial" w:ascii="Arial" w:hAnsi="Arial"/>
                <w:b/>
                <w:bCs/>
                <w:i w:val="false"/>
                <w:iCs w:val="false"/>
                <w:color w:val="000000"/>
                <w:sz w:val="18"/>
                <w:szCs w:val="18"/>
              </w:rPr>
              <w:t>VALOR UNITÁRIO</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color w:val="000000"/>
              </w:rPr>
            </w:pPr>
            <w:r>
              <w:rPr>
                <w:rFonts w:cs="Arial" w:ascii="Arial" w:hAnsi="Arial"/>
                <w:b/>
                <w:bCs/>
                <w:i w:val="false"/>
                <w:iCs w:val="false"/>
                <w:color w:val="000000"/>
                <w:sz w:val="18"/>
                <w:szCs w:val="18"/>
              </w:rPr>
              <w:t>VALOR TOTAL</w:t>
            </w:r>
            <w:r>
              <w:rPr/>
              <w:commentReference w:id="1"/>
            </w:r>
            <w:commentRangeEnd w:id="0"/>
            <w:r>
              <w:commentReference w:id="0"/>
            </w:r>
            <w:r>
              <w:rPr/>
            </w:r>
          </w:p>
        </w:tc>
      </w:tr>
      <w:tr>
        <w:trPr>
          <w:trHeight w:val="567" w:hRule="exact"/>
        </w:trPr>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b w:val="false"/>
                <w:b w:val="false"/>
                <w:bCs w:val="false"/>
                <w:i w:val="false"/>
                <w:i w:val="false"/>
                <w:iCs w:val="false"/>
                <w:color w:val="000000"/>
              </w:rPr>
            </w:pPr>
            <w:r>
              <w:rPr>
                <w:rFonts w:cs="Arial" w:ascii="Arial" w:hAnsi="Arial"/>
                <w:b w:val="false"/>
                <w:bCs w:val="false"/>
                <w:i w:val="false"/>
                <w:iCs w:val="false"/>
                <w:color w:val="000000"/>
                <w:sz w:val="20"/>
                <w:szCs w:val="20"/>
              </w:rPr>
              <w:t>1</w:t>
            </w:r>
          </w:p>
        </w:tc>
        <w:tc>
          <w:tcPr>
            <w:tcW w:w="31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ABACAXI PEROLA OU HAVAI</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464374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2370</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R$ 6,70</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R$ 15.879,00</w:t>
            </w:r>
          </w:p>
        </w:tc>
      </w:tr>
      <w:tr>
        <w:trPr>
          <w:trHeight w:val="882" w:hRule="exact"/>
        </w:trPr>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b w:val="false"/>
                <w:b w:val="false"/>
                <w:bCs w:val="false"/>
                <w:i w:val="false"/>
                <w:i w:val="false"/>
                <w:iCs w:val="false"/>
                <w:color w:val="000000"/>
              </w:rPr>
            </w:pPr>
            <w:r>
              <w:rPr>
                <w:rFonts w:cs="Arial" w:ascii="Arial" w:hAnsi="Arial"/>
                <w:b w:val="false"/>
                <w:bCs w:val="false"/>
                <w:i w:val="false"/>
                <w:iCs w:val="false"/>
                <w:color w:val="000000"/>
                <w:sz w:val="20"/>
                <w:szCs w:val="20"/>
              </w:rPr>
              <w:t>3</w:t>
            </w:r>
          </w:p>
        </w:tc>
        <w:tc>
          <w:tcPr>
            <w:tcW w:w="31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ABACATE</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464373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60</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R$ 5,17</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R$ 310,00</w:t>
            </w:r>
          </w:p>
        </w:tc>
      </w:tr>
      <w:tr>
        <w:trPr>
          <w:trHeight w:val="567" w:hRule="exact"/>
        </w:trPr>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b w:val="false"/>
                <w:b w:val="false"/>
                <w:bCs w:val="false"/>
                <w:i w:val="false"/>
                <w:i w:val="false"/>
                <w:iCs w:val="false"/>
                <w:color w:val="000000"/>
              </w:rPr>
            </w:pPr>
            <w:r>
              <w:rPr>
                <w:rFonts w:cs="Arial" w:ascii="Arial" w:hAnsi="Arial"/>
                <w:b w:val="false"/>
                <w:bCs w:val="false"/>
                <w:i w:val="false"/>
                <w:iCs w:val="false"/>
                <w:color w:val="000000"/>
                <w:sz w:val="20"/>
                <w:szCs w:val="20"/>
              </w:rPr>
              <w:t>3</w:t>
            </w:r>
          </w:p>
        </w:tc>
        <w:tc>
          <w:tcPr>
            <w:tcW w:w="31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ABÓBORA</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471861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212</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R$ 5,63</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R$ 1.194,27</w:t>
            </w:r>
          </w:p>
        </w:tc>
      </w:tr>
      <w:tr>
        <w:trPr>
          <w:trHeight w:val="567" w:hRule="exact"/>
        </w:trPr>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b w:val="false"/>
                <w:b w:val="false"/>
                <w:bCs w:val="false"/>
                <w:i w:val="false"/>
                <w:i w:val="false"/>
                <w:iCs w:val="false"/>
                <w:color w:val="000000"/>
              </w:rPr>
            </w:pPr>
            <w:r>
              <w:rPr>
                <w:rFonts w:cs="Arial" w:ascii="Arial" w:hAnsi="Arial"/>
                <w:b w:val="false"/>
                <w:bCs w:val="false"/>
                <w:i w:val="false"/>
                <w:iCs w:val="false"/>
                <w:color w:val="000000"/>
                <w:sz w:val="20"/>
                <w:szCs w:val="20"/>
              </w:rPr>
              <w:t>4</w:t>
            </w:r>
          </w:p>
        </w:tc>
        <w:tc>
          <w:tcPr>
            <w:tcW w:w="31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AIPIM DESCASCADO</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463795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800</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R$ 6,96</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R$ 5.570,67</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5</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AMENDOIM CRU</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464535</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50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R$ 11,63</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R$ 581,25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6</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BANANA DA PRATA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464381</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1100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R$ 6,24</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R$ 6.861,25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7</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BANANA DA TERRA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464377</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620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R$ 7,30</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R$ 4.524,45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8</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BATATA DOCE</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617162</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R$ 6,69</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R$ 2.675,00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9</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BATATA INGLESA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463754</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62</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R$ 7,48</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R$ 463,45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10</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BETERRABA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463767</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R$ 6,23</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R$ 124,50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11</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CEBOLA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463780</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300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R$ 8,15</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R$ 2.445,00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12</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CENOURA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463770</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205</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R$ 8,15</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R$ 1.670,24</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13</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COCO RALADO</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421669</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150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R$ 28,23</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R$ 4.233,75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14</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COENTRO</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463876</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250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MOLHO</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R$ 4,30</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R$ 1.074,38</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15</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COUVE FOLHA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463822</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MOLHO</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R$ 4,22</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R$ 422,25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16</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FARINHA DE MANDIOCA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458920</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240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R$ 9,88</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R$ 2.370,00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17</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GOIABA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464392</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702</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R$ 7,50</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R$ 5.265,00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18</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INHAME DESCASCADO</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463789</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R$ 13,35</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R$ 2.670,00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19</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LARANJA PERA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464393</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3</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CENTO</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R$ 64,75</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R$ 194,25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20</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LIMÃO TAITI</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464398</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60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Liberation Serif" w:hAnsi="Liberation Serif"/>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R$ 5,70</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R$ 342,00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21</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MAMÃO FORMOSA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464405</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R$ 6,89</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R$ 688,75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22</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MANGA ROSA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464410</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1100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R$ 6,89</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R$ 7.573,50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23</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MARACUJÁ</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464415</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R$ 9,38</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R$ 375,00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24</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MASSA PUBA CONGELADA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458923</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12</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R$ 15,00</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R$ 180,00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25</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MELANCIA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464418</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2800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R$ 5,03</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R$ 14.070,00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26</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MELÃO</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464422</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1600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R$ 6,73</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R$ 10.760,00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27</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MILHO VERDE ESPIGA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279262</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UND</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R$ 1,95</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R$ 389,50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28</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OVO DE GALINHA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467577</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60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PLACA</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R$ 25,48</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R$ 1.528,50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29</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PIMENTÃO VERDE</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463809</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R$ 9,45</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R$ 378,00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30</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REPOLHO BRANCO</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463839</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44</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R$ 7,26</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R$ 319,33</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31</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TANGERINA PONKAN</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464436</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500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R$ 5,95</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R$ 2.975,00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32</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TOMATE RASTEIRO</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474918</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R$ 8,93</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R$ 893,00</w:t>
            </w:r>
          </w:p>
        </w:tc>
      </w:tr>
    </w:tbl>
    <w:p>
      <w:pPr>
        <w:pStyle w:val="Normal"/>
        <w:numPr>
          <w:ilvl w:val="2"/>
          <w:numId w:val="4"/>
        </w:numPr>
        <w:spacing w:lineRule="auto" w:line="276" w:before="120" w:after="120"/>
        <w:ind w:left="930" w:hanging="504"/>
        <w:jc w:val="both"/>
        <w:rPr>
          <w:color w:val="000000"/>
        </w:rPr>
      </w:pPr>
      <w:r>
        <w:rPr>
          <w:rFonts w:eastAsia="Times New Roman" w:cs="Arial" w:ascii="Arial" w:hAnsi="Arial"/>
          <w:i w:val="false"/>
          <w:iCs w:val="false"/>
          <w:color w:val="000000"/>
          <w:sz w:val="20"/>
          <w:szCs w:val="20"/>
          <w:shd w:fill="auto" w:val="clear"/>
        </w:rPr>
        <w:t>Estimativas de consumo individualizadas, do órgão gerenciador e órgão(s) e entidade(s) participante(s).</w:t>
      </w:r>
    </w:p>
    <w:p>
      <w:pPr>
        <w:pStyle w:val="Normal"/>
        <w:numPr>
          <w:ilvl w:val="3"/>
          <w:numId w:val="4"/>
        </w:numPr>
        <w:spacing w:lineRule="auto" w:line="276" w:before="120" w:after="120"/>
        <w:ind w:left="930" w:hanging="504"/>
        <w:jc w:val="both"/>
        <w:rPr>
          <w:color w:val="000000"/>
        </w:rPr>
      </w:pPr>
      <w:r>
        <w:rPr>
          <w:rFonts w:eastAsia="Times New Roman" w:cs="Arial" w:ascii="Arial" w:hAnsi="Arial"/>
          <w:b w:val="false"/>
          <w:bCs w:val="false"/>
          <w:i w:val="false"/>
          <w:iCs w:val="false"/>
          <w:color w:val="000000"/>
          <w:sz w:val="20"/>
          <w:szCs w:val="20"/>
          <w:shd w:fill="auto" w:val="clear"/>
        </w:rPr>
        <w:t>A aquisição de gêneros alimentícios visa atender a demanda do Refeitório do Campus Governador Mangabeira, com recurso oriundo do Programa Nacional de Alimentação Escolar – PNAE. O objetivo é suprir a demanda de um período letivo, logo, as requisições dos itens serão gradativas, respeitando os períodos de sazonalidade dos produtos. Não será informada estimativa de consumo, pois, as quantidades variam muito no decorrer do ano letivo, contudo, os pedidos serão realizados com a antecedência necessária para que os agricultores se organizem e possam planejar a entrega, sem afetar a produção do refeitório e sua capacidade de forneciemtno.</w:t>
      </w:r>
    </w:p>
    <w:p>
      <w:pPr>
        <w:pStyle w:val="Nvel2Opcional1"/>
        <w:numPr>
          <w:ilvl w:val="1"/>
          <w:numId w:val="3"/>
        </w:numPr>
        <w:ind w:left="1709" w:right="0" w:hanging="432"/>
        <w:rPr>
          <w:color w:val="000000"/>
        </w:rPr>
      </w:pPr>
      <w:r>
        <w:rPr>
          <w:i w:val="false"/>
          <w:iCs w:val="false"/>
          <w:color w:val="000000"/>
        </w:rPr>
        <w:t>Os bens</w:t>
      </w:r>
      <w:commentRangeStart w:id="2"/>
      <w:r>
        <w:rPr>
          <w:i w:val="false"/>
          <w:iCs w:val="false"/>
          <w:color w:val="000000"/>
        </w:rPr>
        <w:t xml:space="preserve"> objeto desta contratação são caracterizados como comuns, conforme justificativa constante do Estudo Técnico Preliminar.</w:t>
      </w:r>
      <w:commentRangeEnd w:id="2"/>
      <w:r>
        <w:commentReference w:id="2"/>
      </w:r>
      <w:r>
        <w:rPr>
          <w:i w:val="false"/>
          <w:iCs w:val="false"/>
          <w:color w:val="000000"/>
        </w:rPr>
      </w:r>
    </w:p>
    <w:p>
      <w:pPr>
        <w:pStyle w:val="Nvel2Opcional1"/>
        <w:numPr>
          <w:ilvl w:val="1"/>
          <w:numId w:val="3"/>
        </w:numPr>
        <w:ind w:left="1709" w:right="0" w:hanging="432"/>
        <w:rPr>
          <w:color w:val="000000"/>
        </w:rPr>
      </w:pPr>
      <w:commentRangeStart w:id="3"/>
      <w:r>
        <w:rPr>
          <w:i w:val="false"/>
          <w:iCs w:val="false"/>
          <w:color w:val="000000"/>
        </w:rPr>
        <w:t>O objeto desta contratação não se enquadra como bem de luxo, conforme Decreto nº 10.818, de 27 de setembro de 2021.</w:t>
      </w:r>
      <w:bookmarkStart w:id="2" w:name="_Hlk176363679"/>
      <w:bookmarkEnd w:id="2"/>
      <w:commentRangeEnd w:id="3"/>
      <w:r>
        <w:commentReference w:id="3"/>
      </w:r>
      <w:r>
        <w:rPr>
          <w:i w:val="false"/>
          <w:iCs w:val="false"/>
          <w:color w:val="000000"/>
        </w:rPr>
      </w:r>
    </w:p>
    <w:p>
      <w:pPr>
        <w:pStyle w:val="Nvel2Opcional1"/>
        <w:numPr>
          <w:ilvl w:val="1"/>
          <w:numId w:val="3"/>
        </w:numPr>
        <w:ind w:left="1709" w:right="0" w:hanging="432"/>
        <w:rPr>
          <w:color w:val="000000"/>
        </w:rPr>
      </w:pPr>
      <w:r>
        <w:rPr>
          <w:i w:val="false"/>
          <w:iCs w:val="false"/>
          <w:color w:val="000000"/>
        </w:rPr>
        <w:t>O prazo de vigência da contratação é de 12 meses, contados da assinatura do Termo de Contrato, na forma do artigo 105 da Lei n° 14.133, de 2021.</w:t>
      </w:r>
    </w:p>
    <w:p>
      <w:pPr>
        <w:pStyle w:val="Nvel02"/>
        <w:numPr>
          <w:ilvl w:val="1"/>
          <w:numId w:val="3"/>
        </w:numPr>
        <w:ind w:left="0" w:right="0" w:hanging="0"/>
        <w:rPr>
          <w:color w:val="000000"/>
        </w:rPr>
      </w:pPr>
      <w:r>
        <w:rPr>
          <w:i w:val="false"/>
          <w:iCs w:val="false"/>
          <w:color w:val="000000"/>
        </w:rPr>
        <w:t>O contrato ou outro instrumento hábil que o substitua oferece maior detalhamento das regras que serão aplicadas em relação à vigência da contratação.</w:t>
      </w:r>
    </w:p>
    <w:p>
      <w:pPr>
        <w:pStyle w:val="Nivel01"/>
        <w:numPr>
          <w:ilvl w:val="0"/>
          <w:numId w:val="3"/>
        </w:numPr>
        <w:ind w:left="357" w:hanging="357"/>
        <w:rPr>
          <w:color w:val="000000"/>
        </w:rPr>
      </w:pPr>
      <w:r>
        <w:rPr>
          <w:i w:val="false"/>
          <w:iCs w:val="false"/>
          <w:color w:val="000000"/>
        </w:rPr>
        <w:t>FUNDAMENTAÇÃO E DESCRIÇÃO DA NECESSIDADE DA CONTRATAÇÃO</w:t>
      </w:r>
    </w:p>
    <w:p>
      <w:pPr>
        <w:pStyle w:val="Nvel02"/>
        <w:numPr>
          <w:ilvl w:val="1"/>
          <w:numId w:val="3"/>
        </w:numPr>
        <w:ind w:left="0" w:right="0" w:hanging="0"/>
        <w:rPr>
          <w:color w:val="000000"/>
        </w:rPr>
      </w:pPr>
      <w:commentRangeStart w:id="4"/>
      <w:r>
        <w:rPr>
          <w:i w:val="false"/>
          <w:iCs w:val="false"/>
          <w:color w:val="000000"/>
        </w:rPr>
        <w:t>A Fundamentação da Contratação e de seus quantitativos encontra-se pormenorizada em tópico específico dos Estudos Técnicos Preliminares, apêndice deste Termo de Referência.</w:t>
      </w:r>
      <w:bookmarkStart w:id="3" w:name="_Hlk170988156"/>
      <w:bookmarkEnd w:id="3"/>
      <w:commentRangeEnd w:id="4"/>
      <w:r>
        <w:commentReference w:id="4"/>
      </w:r>
      <w:r>
        <w:rPr>
          <w:i w:val="false"/>
          <w:iCs w:val="false"/>
          <w:color w:val="000000"/>
        </w:rPr>
      </w:r>
    </w:p>
    <w:p>
      <w:pPr>
        <w:pStyle w:val="Nvel2Opcional1"/>
        <w:numPr>
          <w:ilvl w:val="1"/>
          <w:numId w:val="3"/>
        </w:numPr>
        <w:ind w:left="1709" w:right="0" w:hanging="432"/>
        <w:rPr>
          <w:color w:val="000000"/>
        </w:rPr>
      </w:pPr>
      <w:r>
        <w:rPr>
          <w:i w:val="false"/>
          <w:iCs w:val="false"/>
          <w:color w:val="000000"/>
        </w:rPr>
        <w:t>O objeto da contratação está previsto no Plano de Contratações Anual 2025, conforme consta das informações básicas desse Termo de Referência.</w:t>
      </w:r>
    </w:p>
    <w:p>
      <w:pPr>
        <w:pStyle w:val="Nivel01"/>
        <w:numPr>
          <w:ilvl w:val="0"/>
          <w:numId w:val="3"/>
        </w:numPr>
        <w:ind w:left="357" w:hanging="357"/>
        <w:rPr>
          <w:color w:val="000000"/>
        </w:rPr>
      </w:pPr>
      <w:r>
        <w:rPr>
          <w:i w:val="false"/>
          <w:iCs w:val="false"/>
          <w:color w:val="000000"/>
        </w:rPr>
        <w:t>DESCRIÇÃO DA SOLUÇÃO COMO UM TODO CONSIDERADO O CICLO DE VIDA DO OBJETO E ESPECIFICAÇÃO DO PRODUTO</w:t>
      </w:r>
    </w:p>
    <w:p>
      <w:pPr>
        <w:pStyle w:val="Nvel02"/>
        <w:numPr>
          <w:ilvl w:val="1"/>
          <w:numId w:val="3"/>
        </w:numPr>
        <w:ind w:left="0" w:right="0" w:hanging="0"/>
        <w:rPr>
          <w:color w:val="000000"/>
        </w:rPr>
      </w:pPr>
      <w:bookmarkStart w:id="4" w:name="_Ref121236534"/>
      <w:commentRangeStart w:id="5"/>
      <w:r>
        <w:rPr>
          <w:i w:val="false"/>
          <w:iCs w:val="false"/>
          <w:color w:val="000000"/>
        </w:rPr>
        <w:t>A descrição da solução como um todo encontra-se pormenorizada em tópico específico dos Estudos Técnicos Preliminares, apêndice deste Termo de Referência.</w:t>
      </w:r>
      <w:bookmarkEnd w:id="4"/>
      <w:commentRangeEnd w:id="5"/>
      <w:r>
        <w:commentReference w:id="5"/>
      </w:r>
      <w:r>
        <w:rPr>
          <w:i w:val="false"/>
          <w:iCs w:val="false"/>
          <w:color w:val="000000"/>
        </w:rPr>
      </w:r>
    </w:p>
    <w:p>
      <w:pPr>
        <w:pStyle w:val="Nivel01"/>
        <w:numPr>
          <w:ilvl w:val="0"/>
          <w:numId w:val="3"/>
        </w:numPr>
        <w:ind w:left="357" w:hanging="357"/>
        <w:rPr>
          <w:color w:val="000000"/>
        </w:rPr>
      </w:pPr>
      <w:commentRangeStart w:id="6"/>
      <w:r>
        <w:rPr>
          <w:i w:val="false"/>
          <w:iCs w:val="false"/>
          <w:color w:val="000000"/>
        </w:rPr>
        <w:t>REQUISITOS DA CONTRATAÇÃO</w:t>
      </w:r>
      <w:commentRangeEnd w:id="6"/>
      <w:r>
        <w:commentReference w:id="6"/>
      </w:r>
      <w:r>
        <w:rPr>
          <w:i w:val="false"/>
          <w:iCs w:val="false"/>
          <w:color w:val="000000"/>
        </w:rPr>
      </w:r>
    </w:p>
    <w:p>
      <w:pPr>
        <w:pStyle w:val="Nvel2Opcional1"/>
        <w:widowControl/>
        <w:numPr>
          <w:ilvl w:val="1"/>
          <w:numId w:val="3"/>
        </w:numPr>
        <w:shd w:val="clear" w:color="auto" w:fill="auto"/>
        <w:bidi w:val="0"/>
        <w:spacing w:lineRule="auto" w:line="276" w:before="120" w:after="120"/>
        <w:ind w:left="794" w:right="0" w:hanging="0"/>
        <w:jc w:val="both"/>
        <w:rPr>
          <w:color w:val="000000"/>
        </w:rPr>
      </w:pPr>
      <w:r>
        <w:rPr>
          <w:b w:val="false"/>
          <w:bCs w:val="false"/>
          <w:i w:val="false"/>
          <w:iCs w:val="false"/>
          <w:color w:val="000000"/>
        </w:rPr>
        <w:t xml:space="preserve">De acordo com a Lei nº 11.947, de 16/06/2009, do total dos recursos financeiros repassados pelo Fundo Nacional de Desenvolvimento da Educação - FNDE, no âmbito do Programa Nacional de Alimentação Escolar - PNAE, no mínimo 30% (trinta por cento) deverão ser utilizados na aquisição de gêneros alimentícios diretamente da agricultura familiar e do empreendedor familiar rural ou de suas organizações, priorizando-se os assentamentos da reforma agrária, as comunidades tradicionais indígenas, as comunidades quilombolas e os grupos formais e informais de mulheres. </w:t>
      </w:r>
    </w:p>
    <w:p>
      <w:pPr>
        <w:pStyle w:val="Nvel2Opcional1"/>
        <w:widowControl/>
        <w:numPr>
          <w:ilvl w:val="1"/>
          <w:numId w:val="3"/>
        </w:numPr>
        <w:shd w:val="clear" w:color="auto" w:fill="auto"/>
        <w:bidi w:val="0"/>
        <w:spacing w:lineRule="auto" w:line="276" w:before="120" w:after="120"/>
        <w:ind w:left="794" w:right="0" w:hanging="0"/>
        <w:jc w:val="both"/>
        <w:rPr>
          <w:color w:val="000000"/>
        </w:rPr>
      </w:pPr>
      <w:r>
        <w:rPr>
          <w:b w:val="false"/>
          <w:bCs w:val="false"/>
          <w:i w:val="false"/>
          <w:iCs w:val="false"/>
          <w:color w:val="000000"/>
        </w:rPr>
        <w:t>De acordo com a Resolução CD/FNDE, nº 3, de 04 de fevereiro de 2025, que altera a Resolução CD/FNDE, nº 6, de 8 de maio de 2020, d</w:t>
      </w:r>
      <w:r>
        <w:rPr>
          <w:i w:val="false"/>
          <w:iCs w:val="false"/>
          <w:color w:val="000000"/>
        </w:rPr>
        <w:t xml:space="preserve">o total dos recursos financeiros repassados pelo FNDE no âmbito do PNAE, a entidade executora deverá executar, no mínimo 30% (trinta por cento), na aquisição de gêneros alimentícios diretamente da agricultura familiar e do empreendedor familiar rural ou de suas organizações, priorizando os assentamentos da reforma agrária, as comunidades tradicionais indígenas, comunidades quilombolas e os grupos formais e informais de mulheres, nos termos do art. 14 da Lei nº 11.947, de 16 de junho de 2009. </w:t>
      </w:r>
    </w:p>
    <w:p>
      <w:pPr>
        <w:pStyle w:val="Nvel2Opcional1"/>
        <w:widowControl/>
        <w:numPr>
          <w:ilvl w:val="1"/>
          <w:numId w:val="3"/>
        </w:numPr>
        <w:shd w:val="clear" w:color="auto" w:fill="auto"/>
        <w:bidi w:val="0"/>
        <w:spacing w:lineRule="auto" w:line="276" w:before="120" w:after="120"/>
        <w:ind w:left="794" w:right="0" w:hanging="0"/>
        <w:jc w:val="both"/>
        <w:rPr>
          <w:color w:val="000000"/>
        </w:rPr>
      </w:pPr>
      <w:r>
        <w:rPr>
          <w:i w:val="false"/>
          <w:iCs w:val="false"/>
          <w:color w:val="000000"/>
        </w:rPr>
        <w:t xml:space="preserve">O valor desta contratação representa 84,46% (oitenta e quatro vírgula, quarenta e seis por cento) do valor total repassado pelo FNDE para o ano de 2025 </w:t>
      </w:r>
    </w:p>
    <w:p>
      <w:pPr>
        <w:pStyle w:val="Nvel2Opcional1"/>
        <w:widowControl/>
        <w:numPr>
          <w:ilvl w:val="1"/>
          <w:numId w:val="3"/>
        </w:numPr>
        <w:shd w:val="clear" w:color="auto" w:fill="auto"/>
        <w:bidi w:val="0"/>
        <w:spacing w:lineRule="auto" w:line="276" w:before="120" w:after="120"/>
        <w:ind w:left="794" w:right="0" w:hanging="0"/>
        <w:jc w:val="both"/>
        <w:rPr>
          <w:color w:val="000000"/>
        </w:rPr>
      </w:pPr>
      <w:r>
        <w:rPr>
          <w:i w:val="false"/>
          <w:iCs w:val="false"/>
          <w:color w:val="000000"/>
        </w:rPr>
        <w:t xml:space="preserve">Além dos critérios de sustentabilidade eventualmente inseridos na descrição do objeto, devem ser atendidos os seguintes requisitos, que se baseiam no Guia Nacional de Contratações Sustentáveis DECOR/CGU/AGU, 2021: </w:t>
      </w:r>
    </w:p>
    <w:p>
      <w:pPr>
        <w:pStyle w:val="Nvel2Opcional1"/>
        <w:widowControl/>
        <w:numPr>
          <w:ilvl w:val="0"/>
          <w:numId w:val="0"/>
        </w:numPr>
        <w:shd w:val="clear" w:color="auto" w:fill="auto"/>
        <w:bidi w:val="0"/>
        <w:spacing w:lineRule="auto" w:line="276" w:before="120" w:after="120"/>
        <w:ind w:left="794" w:right="0" w:hanging="0"/>
        <w:jc w:val="both"/>
        <w:rPr>
          <w:color w:val="000000"/>
        </w:rPr>
      </w:pPr>
      <w:r>
        <w:rPr>
          <w:i w:val="false"/>
          <w:iCs w:val="false"/>
          <w:color w:val="000000"/>
        </w:rPr>
        <w:t xml:space="preserve">a) que sejam adotadas práticas que reduzem impactos negativos de ordem social, econômico e ambiental; </w:t>
      </w:r>
    </w:p>
    <w:p>
      <w:pPr>
        <w:pStyle w:val="Nvel2Opcional1"/>
        <w:widowControl/>
        <w:numPr>
          <w:ilvl w:val="0"/>
          <w:numId w:val="0"/>
        </w:numPr>
        <w:shd w:val="clear" w:color="auto" w:fill="auto"/>
        <w:bidi w:val="0"/>
        <w:spacing w:lineRule="auto" w:line="276" w:before="120" w:after="120"/>
        <w:ind w:left="794" w:right="0" w:hanging="0"/>
        <w:jc w:val="both"/>
        <w:rPr>
          <w:color w:val="000000"/>
        </w:rPr>
      </w:pPr>
      <w:r>
        <w:rPr>
          <w:i w:val="false"/>
          <w:iCs w:val="false"/>
          <w:color w:val="000000"/>
        </w:rPr>
        <w:t xml:space="preserve">b) que priorizem o fortalecimento da agricultura familiar e de pequenas comunidades locais, além de diminuir a distância de transporte e, por consequência, a emissão de poluentes; </w:t>
      </w:r>
    </w:p>
    <w:p>
      <w:pPr>
        <w:pStyle w:val="Nvel2Opcional1"/>
        <w:widowControl/>
        <w:numPr>
          <w:ilvl w:val="0"/>
          <w:numId w:val="0"/>
        </w:numPr>
        <w:shd w:val="clear" w:color="auto" w:fill="auto"/>
        <w:bidi w:val="0"/>
        <w:spacing w:lineRule="auto" w:line="276" w:before="120" w:after="120"/>
        <w:ind w:left="794" w:right="0" w:hanging="0"/>
        <w:jc w:val="both"/>
        <w:rPr>
          <w:color w:val="000000"/>
        </w:rPr>
      </w:pPr>
      <w:r>
        <w:rPr>
          <w:i w:val="false"/>
          <w:iCs w:val="false"/>
          <w:color w:val="000000"/>
        </w:rPr>
        <w:t xml:space="preserve">c) que adotem soluções mais sustentáveis, as quais foquem na função que se almeja com a contratação e que gerem menor custo e redução de resíduos. </w:t>
      </w:r>
    </w:p>
    <w:p>
      <w:pPr>
        <w:pStyle w:val="Nvel2Opcional1"/>
        <w:widowControl/>
        <w:numPr>
          <w:ilvl w:val="1"/>
          <w:numId w:val="3"/>
        </w:numPr>
        <w:shd w:val="clear" w:color="auto" w:fill="auto"/>
        <w:bidi w:val="0"/>
        <w:spacing w:lineRule="auto" w:line="276" w:before="120" w:after="120"/>
        <w:ind w:left="794" w:right="0" w:hanging="0"/>
        <w:jc w:val="both"/>
        <w:rPr>
          <w:color w:val="000000"/>
        </w:rPr>
      </w:pPr>
      <w:r>
        <w:rPr>
          <w:i w:val="false"/>
          <w:iCs w:val="false"/>
          <w:color w:val="000000"/>
        </w:rPr>
        <w:t xml:space="preserve">O contratado deverá fornecer diretamente o objeto, não podendo transferir a responsabilidade para nenhuma outra empresa ou instituição de qualquer natureza, não sendo admitida a subcontratação do objeto. </w:t>
      </w:r>
    </w:p>
    <w:p>
      <w:pPr>
        <w:pStyle w:val="Nvel2Opcional1"/>
        <w:widowControl/>
        <w:numPr>
          <w:ilvl w:val="1"/>
          <w:numId w:val="3"/>
        </w:numPr>
        <w:shd w:val="clear" w:color="auto" w:fill="auto"/>
        <w:bidi w:val="0"/>
        <w:spacing w:lineRule="auto" w:line="276" w:before="120" w:after="120"/>
        <w:ind w:left="794" w:right="0" w:hanging="0"/>
        <w:jc w:val="both"/>
        <w:rPr>
          <w:color w:val="000000"/>
        </w:rPr>
      </w:pPr>
      <w:r>
        <w:rPr>
          <w:i w:val="false"/>
          <w:iCs w:val="false"/>
          <w:color w:val="000000"/>
        </w:rPr>
        <w:t xml:space="preserve">O contratado deverá prestar todos os esclarecimentos técnicos que lhe forem solicitados, relacionados às características dos materiais fornecidos, no prazo estipulado pela Contratante e arcar com todas as despesas, diretas ou indiretas, decorrentes do fornecimento dos materiais </w:t>
      </w:r>
    </w:p>
    <w:p>
      <w:pPr>
        <w:pStyle w:val="Nvel1SemNumerao"/>
        <w:ind w:left="0" w:hanging="0"/>
        <w:rPr>
          <w:color w:val="000000"/>
        </w:rPr>
      </w:pPr>
      <w:r>
        <w:rPr>
          <w:i w:val="false"/>
          <w:iCs w:val="false"/>
          <w:color w:val="000000"/>
        </w:rPr>
        <w:t>Subcontratação</w:t>
      </w:r>
    </w:p>
    <w:p>
      <w:pPr>
        <w:pStyle w:val="Nvel2Opcional1"/>
        <w:numPr>
          <w:ilvl w:val="1"/>
          <w:numId w:val="3"/>
        </w:numPr>
        <w:ind w:left="1709" w:right="0" w:hanging="432"/>
        <w:rPr>
          <w:color w:val="000000"/>
        </w:rPr>
      </w:pPr>
      <w:commentRangeStart w:id="7"/>
      <w:r>
        <w:rPr>
          <w:i w:val="false"/>
          <w:iCs w:val="false"/>
          <w:color w:val="000000"/>
        </w:rPr>
        <w:t>Não será admitida a subcontratação do objeto contratual.</w:t>
      </w:r>
      <w:r>
        <w:rPr>
          <w:i w:val="false"/>
          <w:iCs w:val="false"/>
          <w:color w:val="000000"/>
        </w:rPr>
      </w:r>
      <w:commentRangeEnd w:id="7"/>
      <w:r>
        <w:commentReference w:id="7"/>
      </w:r>
      <w:r>
        <w:rPr/>
        <w:commentReference w:id="8"/>
      </w:r>
    </w:p>
    <w:p>
      <w:pPr>
        <w:pStyle w:val="Nvel1SemNumerao"/>
        <w:ind w:left="0" w:hanging="0"/>
        <w:rPr>
          <w:color w:val="000000"/>
        </w:rPr>
      </w:pPr>
      <w:commentRangeStart w:id="9"/>
      <w:r>
        <w:rPr>
          <w:i w:val="false"/>
          <w:iCs w:val="false"/>
          <w:color w:val="000000"/>
        </w:rPr>
        <w:t>Garantia da contratação</w:t>
      </w:r>
      <w:commentRangeEnd w:id="9"/>
      <w:r>
        <w:commentReference w:id="9"/>
      </w:r>
      <w:r>
        <w:rPr>
          <w:i w:val="false"/>
          <w:iCs w:val="false"/>
          <w:color w:val="000000"/>
        </w:rPr>
      </w:r>
    </w:p>
    <w:p>
      <w:pPr>
        <w:pStyle w:val="Nvel2Opcional1"/>
        <w:numPr>
          <w:ilvl w:val="1"/>
          <w:numId w:val="3"/>
        </w:numPr>
        <w:ind w:left="1709" w:right="0" w:hanging="432"/>
        <w:rPr>
          <w:color w:val="000000"/>
        </w:rPr>
      </w:pPr>
      <w:bookmarkStart w:id="5" w:name="_Hlk170740922"/>
      <w:r>
        <w:rPr>
          <w:i w:val="false"/>
          <w:iCs w:val="false"/>
          <w:color w:val="000000"/>
        </w:rPr>
        <w:t>Não haverá exigência da garantia da contratação dos art. 96 e seguintes da Lei nº 14.133, de 2021, pelas razões constantes do Estudo Técnico Preliminar.</w:t>
      </w:r>
      <w:bookmarkEnd w:id="5"/>
    </w:p>
    <w:p>
      <w:pPr>
        <w:pStyle w:val="Nivel01"/>
        <w:numPr>
          <w:ilvl w:val="0"/>
          <w:numId w:val="0"/>
        </w:numPr>
        <w:ind w:left="0" w:hanging="0"/>
        <w:rPr>
          <w:color w:val="000000"/>
        </w:rPr>
      </w:pPr>
      <w:r>
        <w:rPr>
          <w:i w:val="false"/>
          <w:iCs w:val="false"/>
          <w:color w:val="000000"/>
        </w:rPr>
        <w:t>Reserva de cotas para microempresas e empresas de pequeno porte:</w:t>
      </w:r>
    </w:p>
    <w:p>
      <w:pPr>
        <w:pStyle w:val="Nvel2Opcional1"/>
        <w:numPr>
          <w:ilvl w:val="1"/>
          <w:numId w:val="3"/>
        </w:numPr>
        <w:ind w:left="1709" w:right="0" w:hanging="432"/>
        <w:rPr>
          <w:color w:val="000000"/>
        </w:rPr>
      </w:pPr>
      <w:r>
        <w:rPr>
          <w:i w:val="false"/>
          <w:iCs w:val="false"/>
          <w:color w:val="000000"/>
        </w:rPr>
        <w:t>Na presente Chamada Pública, não será realizada a reserva de cota de até vinte e cinco por cento do objeto para a contratação de microempresas e empresas de pequeno porte, por se tratar de uma aquisição exclusiva com agricultores familiares, constituídos ou não em grupos formais.</w:t>
      </w:r>
    </w:p>
    <w:p>
      <w:pPr>
        <w:pStyle w:val="Nivel01"/>
        <w:numPr>
          <w:ilvl w:val="0"/>
          <w:numId w:val="3"/>
        </w:numPr>
        <w:ind w:left="357" w:hanging="357"/>
        <w:rPr>
          <w:color w:val="000000"/>
        </w:rPr>
      </w:pPr>
      <w:commentRangeStart w:id="10"/>
      <w:r>
        <w:rPr>
          <w:i w:val="false"/>
          <w:iCs w:val="false"/>
          <w:color w:val="000000"/>
        </w:rPr>
        <w:t xml:space="preserve">MODELO </w:t>
      </w:r>
      <w:r>
        <w:rPr>
          <w:i w:val="false"/>
          <w:iCs w:val="false"/>
          <w:color w:val="000000"/>
        </w:rPr>
      </w:r>
      <w:commentRangeEnd w:id="10"/>
      <w:r>
        <w:commentReference w:id="10"/>
      </w:r>
      <w:r>
        <w:rPr>
          <w:i w:val="false"/>
          <w:iCs w:val="false"/>
          <w:color w:val="000000"/>
        </w:rPr>
        <w:t>DE EXECUÇÃO DO OBJETO</w:t>
      </w:r>
    </w:p>
    <w:p>
      <w:pPr>
        <w:pStyle w:val="Nvel1SemNumerao"/>
        <w:ind w:left="0" w:hanging="0"/>
        <w:rPr>
          <w:color w:val="000000"/>
        </w:rPr>
      </w:pPr>
      <w:r>
        <w:rPr>
          <w:i w:val="false"/>
          <w:iCs w:val="false"/>
          <w:color w:val="000000"/>
        </w:rPr>
        <w:t>Condições de Entrega</w:t>
      </w:r>
    </w:p>
    <w:p>
      <w:pPr>
        <w:pStyle w:val="Nvel2Opcional1"/>
        <w:numPr>
          <w:ilvl w:val="1"/>
          <w:numId w:val="3"/>
        </w:numPr>
        <w:ind w:left="1709" w:right="0" w:hanging="432"/>
        <w:rPr>
          <w:color w:val="000000"/>
        </w:rPr>
      </w:pPr>
      <w:r>
        <w:rPr>
          <w:i w:val="false"/>
          <w:iCs w:val="false"/>
          <w:color w:val="000000"/>
        </w:rPr>
        <w:t xml:space="preserve">O prazo de entrega dos bens é de 15 dias, contados do recebimento do pedido, emitido pelo setor de Nutrição do Campus, em remessa única. </w:t>
      </w:r>
    </w:p>
    <w:p>
      <w:pPr>
        <w:pStyle w:val="Nvel2Opcional1"/>
        <w:numPr>
          <w:ilvl w:val="1"/>
          <w:numId w:val="3"/>
        </w:numPr>
        <w:ind w:left="1709" w:right="0" w:hanging="432"/>
        <w:rPr>
          <w:color w:val="000000"/>
        </w:rPr>
      </w:pPr>
      <w:r>
        <w:rPr>
          <w:i w:val="false"/>
          <w:iCs w:val="false"/>
          <w:color w:val="000000"/>
        </w:rPr>
        <w:t>O prazo acima pode ser dilatado, desde que não prejudique o andamento das atividades no Refeitório.</w:t>
      </w:r>
    </w:p>
    <w:p>
      <w:pPr>
        <w:pStyle w:val="Nvel2Opcional1"/>
        <w:numPr>
          <w:ilvl w:val="1"/>
          <w:numId w:val="3"/>
        </w:numPr>
        <w:ind w:left="1709" w:right="0" w:hanging="432"/>
        <w:rPr>
          <w:color w:val="000000"/>
        </w:rPr>
      </w:pPr>
      <w:r>
        <w:rPr>
          <w:i w:val="false"/>
          <w:iCs w:val="false"/>
          <w:color w:val="000000"/>
        </w:rPr>
        <w:t>Caso não seja possível a entrega na data assinalada, o agricultor deverá comunicar as razões respectivas com pelo menos 2 (dois) dias de antecedência, para que qualquer pleito de prorrogação de prazo seja analisado, ressalvadas situações de caso fortuito e força maior.</w:t>
      </w:r>
    </w:p>
    <w:p>
      <w:pPr>
        <w:pStyle w:val="Nvel2Opcional1"/>
        <w:numPr>
          <w:ilvl w:val="1"/>
          <w:numId w:val="3"/>
        </w:numPr>
        <w:ind w:left="1709" w:right="0" w:hanging="432"/>
        <w:rPr>
          <w:color w:val="000000"/>
        </w:rPr>
      </w:pPr>
      <w:r>
        <w:rPr>
          <w:i w:val="false"/>
          <w:iCs w:val="false"/>
          <w:color w:val="000000"/>
        </w:rPr>
        <w:t>Os bens deverão ser entregues no seguinte endereço: Rua Waldemar Mascarenhas, sn, Portão, Governador Mangabeira – BA, Cep: 44350-000.</w:t>
      </w:r>
    </w:p>
    <w:p>
      <w:pPr>
        <w:pStyle w:val="Nvel3Opcional1"/>
        <w:numPr>
          <w:ilvl w:val="2"/>
          <w:numId w:val="33"/>
        </w:numPr>
        <w:ind w:left="284" w:hanging="0"/>
        <w:rPr>
          <w:color w:val="000000"/>
        </w:rPr>
      </w:pPr>
      <w:r>
        <w:rPr>
          <w:i w:val="false"/>
          <w:iCs w:val="false"/>
          <w:color w:val="000000"/>
        </w:rPr>
        <w:t>No caso de produtos perecíveis, o prazo de validade na data da entrega não poderá ser inferior a 6 (seis) meses do prazo total recomendado pelo fabricante.</w:t>
      </w:r>
    </w:p>
    <w:p>
      <w:pPr>
        <w:pStyle w:val="Nivel01"/>
        <w:numPr>
          <w:ilvl w:val="0"/>
          <w:numId w:val="3"/>
        </w:numPr>
        <w:ind w:left="357" w:hanging="357"/>
        <w:rPr>
          <w:color w:val="000000"/>
        </w:rPr>
      </w:pPr>
      <w:r>
        <w:rPr>
          <w:i w:val="false"/>
          <w:iCs w:val="false"/>
          <w:color w:val="000000"/>
        </w:rPr>
        <w:t>MODELO DE GESTÃO DO CONTRATO</w:t>
      </w:r>
    </w:p>
    <w:p>
      <w:pPr>
        <w:pStyle w:val="Nvel02"/>
        <w:numPr>
          <w:ilvl w:val="1"/>
          <w:numId w:val="3"/>
        </w:numPr>
        <w:ind w:left="0" w:right="0" w:hanging="0"/>
        <w:rPr>
          <w:color w:val="000000"/>
        </w:rPr>
      </w:pPr>
      <w:r>
        <w:rPr>
          <w:i w:val="false"/>
          <w:iCs w:val="false"/>
          <w:color w:val="000000"/>
        </w:rPr>
        <w:t>O contrato deverá ser executado fielmente pelas partes, de acordo com as cláusulas avençadas e as normas da Lei nº 14.133, de 2021, e cada parte responderá pelas consequências de sua inexecução total ou parcial.</w:t>
      </w:r>
    </w:p>
    <w:p>
      <w:pPr>
        <w:pStyle w:val="Nvel02"/>
        <w:numPr>
          <w:ilvl w:val="1"/>
          <w:numId w:val="3"/>
        </w:numPr>
        <w:ind w:left="0" w:right="0" w:hanging="0"/>
        <w:rPr>
          <w:color w:val="000000"/>
        </w:rPr>
      </w:pPr>
      <w:r>
        <w:rPr>
          <w:i w:val="false"/>
          <w:iCs w:val="false"/>
          <w:color w:val="000000"/>
        </w:rPr>
        <w:t>Em caso de impedimento, ordem de paralisação ou suspensão do contrato, o cronograma de execução será prorrogado automaticamente pelo tempo correspondente, anotadas tais circunstâncias mediante simples apostila.</w:t>
      </w:r>
    </w:p>
    <w:p>
      <w:pPr>
        <w:pStyle w:val="Nvel02"/>
        <w:numPr>
          <w:ilvl w:val="1"/>
          <w:numId w:val="3"/>
        </w:numPr>
        <w:ind w:left="0" w:right="0" w:hanging="0"/>
        <w:rPr>
          <w:color w:val="000000"/>
        </w:rPr>
      </w:pPr>
      <w:r>
        <w:rPr>
          <w:i w:val="false"/>
          <w:iCs w:val="false"/>
          <w:color w:val="000000"/>
        </w:rPr>
        <w:t>As comunicações entre o órgão ou entidade e a contratada devem ser realizadas por escrito sempre que o ato exigir tal formalidade, admitindo-se o uso de mensagem eletrônica para esse fim.</w:t>
      </w:r>
    </w:p>
    <w:p>
      <w:pPr>
        <w:pStyle w:val="Nvel02"/>
        <w:numPr>
          <w:ilvl w:val="1"/>
          <w:numId w:val="3"/>
        </w:numPr>
        <w:ind w:left="0" w:right="0" w:hanging="0"/>
        <w:rPr>
          <w:color w:val="000000"/>
        </w:rPr>
      </w:pPr>
      <w:r>
        <w:rPr>
          <w:i w:val="false"/>
          <w:iCs w:val="false"/>
          <w:color w:val="000000"/>
        </w:rPr>
        <w:t>O órgão ou entidade poderá convocar representante da empresa para adoção de providências que devam ser cumpridas de imediato.</w:t>
      </w:r>
    </w:p>
    <w:p>
      <w:pPr>
        <w:pStyle w:val="Nvel2Opcional1"/>
        <w:numPr>
          <w:ilvl w:val="1"/>
          <w:numId w:val="3"/>
        </w:numPr>
        <w:ind w:left="1709" w:right="0" w:hanging="432"/>
        <w:rPr>
          <w:color w:val="000000"/>
        </w:rPr>
      </w:pPr>
      <w:r>
        <w:rPr>
          <w:i w:val="false"/>
          <w:iCs w:val="false"/>
          <w:color w:val="000000"/>
        </w:rPr>
        <w:t>Após a assinatura do contrato ou instrumento equivalente, o órgão ou entidade poderá convocar o Agricultor Familiar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1SemNumerao"/>
        <w:ind w:left="0" w:hanging="0"/>
        <w:rPr>
          <w:color w:val="000000"/>
        </w:rPr>
      </w:pPr>
      <w:r>
        <w:rPr>
          <w:i w:val="false"/>
          <w:iCs w:val="false"/>
          <w:color w:val="000000"/>
        </w:rPr>
        <w:t>Fiscalização</w:t>
      </w:r>
    </w:p>
    <w:p>
      <w:pPr>
        <w:pStyle w:val="Nvel02"/>
        <w:numPr>
          <w:ilvl w:val="1"/>
          <w:numId w:val="3"/>
        </w:numPr>
        <w:ind w:left="0" w:right="0" w:hanging="0"/>
        <w:rPr>
          <w:color w:val="000000"/>
        </w:rPr>
      </w:pPr>
      <w:commentRangeStart w:id="11"/>
      <w:r>
        <w:rPr>
          <w:i w:val="false"/>
          <w:iCs w:val="false"/>
          <w:color w:val="000000"/>
        </w:rPr>
        <w:t>A execução do contrato deverá ser acompanhada e fiscalizada pelo(s) fiscal(is) do contrato, ou pelos respectivos substitutos.</w:t>
      </w:r>
      <w:commentRangeEnd w:id="11"/>
      <w:r>
        <w:commentReference w:id="11"/>
      </w:r>
      <w:r>
        <w:rPr>
          <w:i w:val="false"/>
          <w:iCs w:val="false"/>
          <w:color w:val="000000"/>
        </w:rPr>
      </w:r>
    </w:p>
    <w:p>
      <w:pPr>
        <w:pStyle w:val="Nvel1SemNumerao"/>
        <w:ind w:left="0" w:hanging="0"/>
        <w:rPr>
          <w:color w:val="000000"/>
        </w:rPr>
      </w:pPr>
      <w:r>
        <w:rPr>
          <w:i w:val="false"/>
          <w:iCs w:val="false"/>
          <w:color w:val="000000"/>
        </w:rPr>
        <w:t>Fiscalização Técnica</w:t>
      </w:r>
    </w:p>
    <w:p>
      <w:pPr>
        <w:pStyle w:val="Nvel02"/>
        <w:numPr>
          <w:ilvl w:val="1"/>
          <w:numId w:val="3"/>
        </w:numPr>
        <w:ind w:left="0" w:right="0" w:hanging="0"/>
        <w:rPr>
          <w:color w:val="000000"/>
        </w:rPr>
      </w:pPr>
      <w:r>
        <w:rPr>
          <w:i w:val="false"/>
          <w:iCs w:val="false"/>
          <w:color w:val="000000"/>
        </w:rPr>
        <w:t>O fiscal técnico do contrato acompanhará a execução do contrato, para que sejam cumpridas todas as condições estabelecidas no contrato, de modo a assegurar os melhores resultados para a Administração.</w:t>
      </w:r>
    </w:p>
    <w:p>
      <w:pPr>
        <w:pStyle w:val="Nvel02"/>
        <w:numPr>
          <w:ilvl w:val="1"/>
          <w:numId w:val="3"/>
        </w:numPr>
        <w:ind w:left="0" w:right="0" w:hanging="0"/>
        <w:rPr>
          <w:color w:val="000000"/>
        </w:rPr>
      </w:pPr>
      <w:r>
        <w:rPr>
          <w:i w:val="false"/>
          <w:iCs w:val="false"/>
          <w:color w:val="000000"/>
        </w:rPr>
        <w:t>O fiscal técnico do contrato anotará no histórico de gerenciamento do contrato todas as ocorrências relacionadas à execução do contrato, com a descrição do que for necessário para a regularização das faltas ou dos defeitos observados.</w:t>
      </w:r>
    </w:p>
    <w:p>
      <w:pPr>
        <w:pStyle w:val="Nvel02"/>
        <w:numPr>
          <w:ilvl w:val="1"/>
          <w:numId w:val="3"/>
        </w:numPr>
        <w:ind w:left="0" w:right="0" w:hanging="0"/>
        <w:rPr>
          <w:color w:val="000000"/>
        </w:rPr>
      </w:pPr>
      <w:r>
        <w:rPr>
          <w:i w:val="false"/>
          <w:iCs w:val="false"/>
          <w:color w:val="000000"/>
        </w:rPr>
        <w:t>Identificada qualquer inexatidão ou irregularidade, o fiscal técnico do contrato emitirá notificações para a correção da execução do contrato, determinando prazo para a correção.</w:t>
      </w:r>
    </w:p>
    <w:p>
      <w:pPr>
        <w:pStyle w:val="Nvel02"/>
        <w:numPr>
          <w:ilvl w:val="1"/>
          <w:numId w:val="3"/>
        </w:numPr>
        <w:ind w:left="0" w:right="0" w:hanging="0"/>
        <w:rPr>
          <w:color w:val="000000"/>
        </w:rPr>
      </w:pPr>
      <w:r>
        <w:rPr>
          <w:i w:val="false"/>
          <w:iCs w:val="false"/>
          <w:color w:val="000000"/>
        </w:rPr>
        <w:t>O fiscal técnico do contrato informará ao gestor do contato, em tempo hábil, a situação que demandar decisão ou adoção de medidas que ultrapassem sua competência, para que adote as medidas necessárias e saneadoras, se for o caso.</w:t>
      </w:r>
    </w:p>
    <w:p>
      <w:pPr>
        <w:pStyle w:val="Nvel02"/>
        <w:numPr>
          <w:ilvl w:val="1"/>
          <w:numId w:val="3"/>
        </w:numPr>
        <w:ind w:left="0" w:right="0" w:hanging="0"/>
        <w:rPr>
          <w:color w:val="000000"/>
        </w:rPr>
      </w:pPr>
      <w:r>
        <w:rPr>
          <w:i w:val="false"/>
          <w:iCs w:val="false"/>
          <w:color w:val="000000"/>
        </w:rPr>
        <w:t>No caso de ocorrências que possam inviabilizar a execução do contrato nas datas aprazadas, o fiscal técnico do contrato comunicará o fato imediatamente ao gestor do contrato.</w:t>
      </w:r>
    </w:p>
    <w:p>
      <w:pPr>
        <w:pStyle w:val="Nvel02"/>
        <w:numPr>
          <w:ilvl w:val="1"/>
          <w:numId w:val="3"/>
        </w:numPr>
        <w:ind w:left="0" w:right="0" w:hanging="0"/>
        <w:rPr>
          <w:color w:val="000000"/>
        </w:rPr>
      </w:pPr>
      <w:r>
        <w:rPr>
          <w:i w:val="false"/>
          <w:iCs w:val="false"/>
          <w:color w:val="000000"/>
        </w:rPr>
        <w:t>O fiscal técnico do contrato comunicará ao gestor do contrato, em tempo hábil, o término do contrato sob sua responsabilidade, com vistas à renovação tempestiva ou à prorrogação contratual.</w:t>
      </w:r>
    </w:p>
    <w:p>
      <w:pPr>
        <w:pStyle w:val="Nvel1SemNumerao"/>
        <w:ind w:left="0" w:hanging="0"/>
        <w:rPr>
          <w:color w:val="000000"/>
        </w:rPr>
      </w:pPr>
      <w:r>
        <w:rPr>
          <w:i w:val="false"/>
          <w:iCs w:val="false"/>
          <w:color w:val="000000"/>
        </w:rPr>
        <w:t>Fiscalização Administrativa</w:t>
      </w:r>
    </w:p>
    <w:p>
      <w:pPr>
        <w:pStyle w:val="Nvel02"/>
        <w:numPr>
          <w:ilvl w:val="1"/>
          <w:numId w:val="3"/>
        </w:numPr>
        <w:ind w:left="0" w:right="0" w:hanging="0"/>
        <w:rPr>
          <w:color w:val="000000"/>
        </w:rPr>
      </w:pPr>
      <w:r>
        <w:rPr>
          <w:i w:val="false"/>
          <w:iCs w:val="false"/>
          <w:color w:val="000000"/>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vel02"/>
        <w:numPr>
          <w:ilvl w:val="1"/>
          <w:numId w:val="3"/>
        </w:numPr>
        <w:ind w:left="0" w:right="0" w:hanging="0"/>
        <w:rPr>
          <w:color w:val="000000"/>
        </w:rPr>
      </w:pPr>
      <w:r>
        <w:rPr>
          <w:i w:val="false"/>
          <w:iCs w:val="false"/>
          <w:color w:val="000000"/>
        </w:rPr>
        <w:t>Caso ocorra descumprimento das obrigações contratuais, o fiscal administrativo do contrato atuará tempestivamente na solução do problema, reportando ao gestor do contrato para que tome as providências cabíveis, quando ultrapassar a sua competência.</w:t>
      </w:r>
    </w:p>
    <w:p>
      <w:pPr>
        <w:pStyle w:val="Nvel2Opcional1"/>
        <w:numPr>
          <w:ilvl w:val="1"/>
          <w:numId w:val="3"/>
        </w:numPr>
        <w:ind w:left="1709" w:right="0" w:hanging="432"/>
        <w:rPr>
          <w:color w:val="000000"/>
        </w:rPr>
      </w:pPr>
      <w:r>
        <w:rPr>
          <w:i w:val="false"/>
          <w:iCs w:val="false"/>
          <w:color w:val="000000"/>
        </w:rPr>
        <w:t>Além do disposto acima, a fiscalização contratual obedecerá às seguintes rotinas:</w:t>
      </w:r>
    </w:p>
    <w:p>
      <w:pPr>
        <w:pStyle w:val="Nvel3Opcional1"/>
        <w:numPr>
          <w:ilvl w:val="2"/>
          <w:numId w:val="34"/>
        </w:numPr>
        <w:ind w:left="284" w:hanging="0"/>
        <w:rPr>
          <w:color w:val="000000"/>
        </w:rPr>
      </w:pPr>
      <w:r>
        <w:rPr>
          <w:i w:val="false"/>
          <w:iCs w:val="false"/>
          <w:color w:val="000000"/>
        </w:rPr>
        <w:t>Conferência da quantidade e qualidade dos produtos entregues, principalmente frutas, verduras e horatliças.</w:t>
      </w:r>
    </w:p>
    <w:p>
      <w:pPr>
        <w:pStyle w:val="Nvel3Opcional1"/>
        <w:numPr>
          <w:ilvl w:val="2"/>
          <w:numId w:val="35"/>
        </w:numPr>
        <w:ind w:left="284" w:hanging="0"/>
        <w:rPr>
          <w:color w:val="000000"/>
        </w:rPr>
      </w:pPr>
      <w:r>
        <w:rPr>
          <w:i w:val="false"/>
          <w:iCs w:val="false"/>
          <w:color w:val="000000"/>
        </w:rPr>
        <w:t>Ateste da Nota fiscal e envio para pagamento;</w:t>
      </w:r>
    </w:p>
    <w:p>
      <w:pPr>
        <w:pStyle w:val="Nvel3Opcional1"/>
        <w:numPr>
          <w:ilvl w:val="2"/>
          <w:numId w:val="36"/>
        </w:numPr>
        <w:ind w:left="284" w:hanging="0"/>
        <w:rPr>
          <w:color w:val="000000"/>
        </w:rPr>
      </w:pPr>
      <w:r>
        <w:rPr>
          <w:i w:val="false"/>
          <w:iCs w:val="false"/>
          <w:color w:val="000000"/>
        </w:rPr>
        <w:t>Acompanhamento e controle dos saldos empenhos, de modo, a evitar que sejam realizados pedidos sem a prévia cobertura orlamentária;</w:t>
      </w:r>
    </w:p>
    <w:p>
      <w:pPr>
        <w:pStyle w:val="Nvel3Opcional1"/>
        <w:numPr>
          <w:ilvl w:val="2"/>
          <w:numId w:val="37"/>
        </w:numPr>
        <w:ind w:left="284" w:hanging="0"/>
        <w:rPr>
          <w:color w:val="000000"/>
        </w:rPr>
      </w:pPr>
      <w:r>
        <w:rPr>
          <w:i w:val="false"/>
          <w:iCs w:val="false"/>
          <w:color w:val="000000"/>
        </w:rPr>
        <w:t>Solicitação para substituição dos gêneros que estejam em desacordo com as especificações deste Termo de Referência e do Projeto de Venda do Agricultor.</w:t>
      </w:r>
    </w:p>
    <w:p>
      <w:pPr>
        <w:pStyle w:val="Nvel02"/>
        <w:numPr>
          <w:ilvl w:val="1"/>
          <w:numId w:val="3"/>
        </w:numPr>
        <w:ind w:left="0" w:right="0" w:hanging="0"/>
        <w:rPr>
          <w:color w:val="000000"/>
        </w:rPr>
      </w:pPr>
      <w:r>
        <w:rPr>
          <w:i w:val="false"/>
          <w:iCs w:val="false"/>
          <w:color w:val="000000"/>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pPr>
        <w:pStyle w:val="Nvel1SemNumerao"/>
        <w:ind w:left="0" w:hanging="0"/>
        <w:rPr>
          <w:color w:val="000000"/>
        </w:rPr>
      </w:pPr>
      <w:r>
        <w:rPr>
          <w:i w:val="false"/>
          <w:iCs w:val="false"/>
          <w:color w:val="000000"/>
        </w:rPr>
        <w:t>Gestor do Contrato</w:t>
      </w:r>
    </w:p>
    <w:p>
      <w:pPr>
        <w:pStyle w:val="Nvel02"/>
        <w:numPr>
          <w:ilvl w:val="1"/>
          <w:numId w:val="3"/>
        </w:numPr>
        <w:ind w:left="0" w:right="0" w:hanging="0"/>
        <w:rPr>
          <w:color w:val="000000"/>
        </w:rPr>
      </w:pPr>
      <w:r>
        <w:rPr>
          <w:i w:val="false"/>
          <w:iCs w:val="false"/>
          <w:color w:val="000000"/>
        </w:rPr>
        <w:t>Cabe ao gestor do contrato:</w:t>
      </w:r>
    </w:p>
    <w:p>
      <w:pPr>
        <w:pStyle w:val="Nivel3"/>
        <w:numPr>
          <w:ilvl w:val="2"/>
          <w:numId w:val="38"/>
        </w:numPr>
        <w:ind w:left="284" w:hanging="0"/>
        <w:rPr>
          <w:color w:val="000000"/>
        </w:rPr>
      </w:pPr>
      <w:r>
        <w:rPr>
          <w:i w:val="false"/>
          <w:iCs w:val="false"/>
          <w:color w:val="000000"/>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pPr>
        <w:pStyle w:val="Nivel3"/>
        <w:numPr>
          <w:ilvl w:val="2"/>
          <w:numId w:val="39"/>
        </w:numPr>
        <w:ind w:left="284" w:hanging="0"/>
        <w:rPr>
          <w:color w:val="000000"/>
        </w:rPr>
      </w:pPr>
      <w:r>
        <w:rPr>
          <w:i w:val="false"/>
          <w:iCs w:val="false"/>
          <w:color w:val="000000"/>
        </w:rPr>
        <w:t>acompanhar os registros realizados pelos fiscais do contrato, de todas as ocorrências relacionadas à execução do contrato e as medidas adotadas, informando, se for o caso, à autoridade superior àquelas que ultrapassarem a sua competência.</w:t>
      </w:r>
    </w:p>
    <w:p>
      <w:pPr>
        <w:pStyle w:val="Nivel3"/>
        <w:numPr>
          <w:ilvl w:val="2"/>
          <w:numId w:val="40"/>
        </w:numPr>
        <w:ind w:left="284" w:hanging="0"/>
        <w:rPr>
          <w:color w:val="000000"/>
        </w:rPr>
      </w:pPr>
      <w:r>
        <w:rPr>
          <w:i w:val="false"/>
          <w:iCs w:val="false"/>
          <w:color w:val="000000"/>
        </w:rPr>
        <w:t>acompanhar a manutenção das condições de habilitação da contratada, para fins de empenho de despesa e pagamento, e anotará os problemas que obstem o fluxo normal da liquidação e do pagamento da despesa no relatório de riscos eventuais.</w:t>
      </w:r>
    </w:p>
    <w:p>
      <w:pPr>
        <w:pStyle w:val="Nivel3"/>
        <w:numPr>
          <w:ilvl w:val="2"/>
          <w:numId w:val="41"/>
        </w:numPr>
        <w:ind w:left="284" w:hanging="0"/>
        <w:rPr>
          <w:color w:val="000000"/>
        </w:rPr>
      </w:pPr>
      <w:r>
        <w:rPr>
          <w:i w:val="false"/>
          <w:iCs w:val="false"/>
          <w:color w:val="000000"/>
        </w:rP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ivel3"/>
        <w:numPr>
          <w:ilvl w:val="2"/>
          <w:numId w:val="42"/>
        </w:numPr>
        <w:ind w:left="284" w:hanging="0"/>
        <w:rPr>
          <w:color w:val="000000"/>
        </w:rPr>
      </w:pPr>
      <w:r>
        <w:rPr>
          <w:i w:val="false"/>
          <w:iCs w:val="false"/>
          <w:color w:val="000000"/>
        </w:rPr>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pPr>
        <w:pStyle w:val="Nivel3"/>
        <w:numPr>
          <w:ilvl w:val="2"/>
          <w:numId w:val="43"/>
        </w:numPr>
        <w:ind w:left="284" w:hanging="0"/>
        <w:rPr>
          <w:color w:val="000000"/>
        </w:rPr>
      </w:pPr>
      <w:r>
        <w:rPr>
          <w:i w:val="false"/>
          <w:iCs w:val="false"/>
          <w:color w:val="000000"/>
        </w:rPr>
        <w:t>elaborar relatório final com informações sobre a consecução dos objetivos que tenham justificado a contratação e eventuais condutas a serem adotadas para o aprimoramento das atividades da Administração.</w:t>
      </w:r>
    </w:p>
    <w:p>
      <w:pPr>
        <w:pStyle w:val="Nivel3"/>
        <w:numPr>
          <w:ilvl w:val="2"/>
          <w:numId w:val="44"/>
        </w:numPr>
        <w:ind w:left="284" w:hanging="0"/>
        <w:rPr>
          <w:color w:val="000000"/>
        </w:rPr>
      </w:pPr>
      <w:r>
        <w:rPr>
          <w:i w:val="false"/>
          <w:iCs w:val="false"/>
          <w:color w:val="000000"/>
        </w:rPr>
        <w:t>enviar a documentação pertinente ao setor de contratos para a formalização dos procedimentos de liquidação e pagamento, no valor dimensionado pela fiscalização e gestão nos termos do contrato.</w:t>
      </w:r>
    </w:p>
    <w:p>
      <w:pPr>
        <w:pStyle w:val="Nivel01"/>
        <w:numPr>
          <w:ilvl w:val="0"/>
          <w:numId w:val="3"/>
        </w:numPr>
        <w:ind w:left="357" w:hanging="357"/>
        <w:rPr>
          <w:color w:val="000000"/>
        </w:rPr>
      </w:pPr>
      <w:bookmarkStart w:id="6" w:name="_Hlk114498479"/>
      <w:bookmarkStart w:id="7" w:name="_Hlk114498447"/>
      <w:bookmarkEnd w:id="6"/>
      <w:bookmarkEnd w:id="7"/>
      <w:r>
        <w:rPr>
          <w:i w:val="false"/>
          <w:iCs w:val="false"/>
          <w:color w:val="000000"/>
        </w:rPr>
        <w:t>INFRAÇÕES E SANÇÕES ADMINISTRATIVAS</w:t>
      </w:r>
    </w:p>
    <w:p>
      <w:pPr>
        <w:pStyle w:val="Nvel02"/>
        <w:numPr>
          <w:ilvl w:val="1"/>
          <w:numId w:val="3"/>
        </w:numPr>
        <w:ind w:left="0" w:right="0" w:hanging="0"/>
        <w:rPr/>
      </w:pPr>
      <w:r>
        <w:rPr>
          <w:rStyle w:val="Normaltextrun"/>
          <w:i w:val="false"/>
          <w:iCs w:val="false"/>
          <w:color w:val="000000"/>
        </w:rPr>
        <w:t>Conforme item 17 do Edital da Chamada Pública.</w:t>
      </w:r>
    </w:p>
    <w:p>
      <w:pPr>
        <w:pStyle w:val="Nivel01"/>
        <w:numPr>
          <w:ilvl w:val="0"/>
          <w:numId w:val="3"/>
        </w:numPr>
        <w:ind w:left="357" w:hanging="357"/>
        <w:rPr>
          <w:color w:val="000000"/>
        </w:rPr>
      </w:pPr>
      <w:r>
        <w:rPr>
          <w:i w:val="false"/>
          <w:iCs w:val="false"/>
          <w:color w:val="000000"/>
        </w:rPr>
        <w:t>CRITÉRIOS DE MEDIÇÃO E DE PAGAMENTO</w:t>
      </w:r>
    </w:p>
    <w:p>
      <w:pPr>
        <w:pStyle w:val="Nvel1SemNumerao"/>
        <w:ind w:left="0" w:hanging="0"/>
        <w:rPr>
          <w:color w:val="000000"/>
        </w:rPr>
      </w:pPr>
      <w:r>
        <w:rPr>
          <w:i w:val="false"/>
          <w:iCs w:val="false"/>
          <w:color w:val="000000"/>
        </w:rPr>
        <w:t>Recebimento</w:t>
      </w:r>
    </w:p>
    <w:p>
      <w:pPr>
        <w:pStyle w:val="Nvel02"/>
        <w:numPr>
          <w:ilvl w:val="1"/>
          <w:numId w:val="3"/>
        </w:numPr>
        <w:ind w:left="0" w:right="0" w:hanging="0"/>
        <w:rPr>
          <w:color w:val="000000"/>
        </w:rPr>
      </w:pPr>
      <w:commentRangeStart w:id="12"/>
      <w:r>
        <w:rPr>
          <w:i w:val="false"/>
          <w:iCs w:val="false"/>
          <w:color w:val="000000"/>
          <w:lang w:eastAsia="en-US"/>
        </w:rPr>
        <w:t>Os bens serão recebidos provisoriamente, de forma sumária</w:t>
      </w:r>
      <w:r>
        <w:rPr>
          <w:i w:val="false"/>
          <w:iCs w:val="false"/>
          <w:color w:val="000000"/>
          <w:lang w:eastAsia="en-US"/>
        </w:rPr>
      </w:r>
      <w:commentRangeEnd w:id="12"/>
      <w:r>
        <w:commentReference w:id="12"/>
      </w:r>
      <w:r>
        <w:rPr>
          <w:i w:val="false"/>
          <w:iCs w:val="false"/>
          <w:color w:val="000000"/>
          <w:lang w:eastAsia="en-US"/>
        </w:rPr>
        <w:t xml:space="preserve">, no ato da entrega, juntamente com a </w:t>
      </w:r>
      <w:r>
        <w:rPr>
          <w:rFonts w:eastAsia="Calibri"/>
          <w:i w:val="false"/>
          <w:iCs w:val="false"/>
          <w:color w:val="000000"/>
          <w:lang w:eastAsia="en-US"/>
        </w:rPr>
        <w:t>nota</w:t>
      </w:r>
      <w:r>
        <w:rPr>
          <w:i w:val="false"/>
          <w:iCs w:val="false"/>
          <w:color w:val="000000"/>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pPr>
        <w:pStyle w:val="Nvel02"/>
        <w:numPr>
          <w:ilvl w:val="1"/>
          <w:numId w:val="3"/>
        </w:numPr>
        <w:ind w:left="0" w:right="0" w:hanging="0"/>
        <w:rPr>
          <w:color w:val="000000"/>
        </w:rPr>
      </w:pPr>
      <w:r>
        <w:rPr>
          <w:i w:val="false"/>
          <w:iCs w:val="false"/>
          <w:color w:val="000000"/>
          <w:lang w:eastAsia="en-US"/>
        </w:rPr>
        <w:t>Os bens poderão ser rejeitados, no todo ou em parte, inclusive antes do recebimento provisório, quando em desacordo com as especificações constantes no Termo de Referência e na proposta, devendo ser substituídos no prazo de 2 (dois) dias, a contar da notificação da contratada, às suas custas, sem prejuízo da aplicação das penalidades.</w:t>
      </w:r>
    </w:p>
    <w:p>
      <w:pPr>
        <w:pStyle w:val="Nvel02"/>
        <w:numPr>
          <w:ilvl w:val="1"/>
          <w:numId w:val="3"/>
        </w:numPr>
        <w:ind w:left="0" w:right="0" w:hanging="0"/>
        <w:rPr>
          <w:color w:val="000000"/>
        </w:rPr>
      </w:pPr>
      <w:commentRangeStart w:id="13"/>
      <w:r>
        <w:rPr>
          <w:i w:val="false"/>
          <w:iCs w:val="false"/>
          <w:color w:val="000000"/>
          <w:lang w:eastAsia="en-US"/>
        </w:rPr>
        <w:t>O recebimento definitivo ocorrerá no prazo de 3 (três) dias úteis, a contar do recebimento da nota fiscal ou instrumento de cobrança equivalente pela Administração, após a verificação da qualidade e quantidade do material e consequente aceitação mediante termo detalhado.</w:t>
      </w:r>
      <w:commentRangeEnd w:id="13"/>
      <w:r>
        <w:commentReference w:id="13"/>
      </w:r>
      <w:r>
        <w:rPr>
          <w:i w:val="false"/>
          <w:iCs w:val="false"/>
          <w:color w:val="000000"/>
          <w:lang w:eastAsia="en-US"/>
        </w:rPr>
      </w:r>
    </w:p>
    <w:p>
      <w:pPr>
        <w:pStyle w:val="Nvel02"/>
        <w:numPr>
          <w:ilvl w:val="1"/>
          <w:numId w:val="3"/>
        </w:numPr>
        <w:ind w:left="0" w:right="0" w:hanging="0"/>
        <w:rPr>
          <w:color w:val="000000"/>
        </w:rPr>
      </w:pPr>
      <w:commentRangeStart w:id="14"/>
      <w:r>
        <w:rPr>
          <w:i w:val="false"/>
          <w:iCs w:val="false"/>
          <w:color w:val="000000"/>
          <w:lang w:eastAsia="en-US"/>
        </w:rPr>
        <w:t>Para as contratações decorrentes de despesas cujos valores não ultrapassem o limite de que trata o inciso II do art. 75 da Lei nº 14.133, de 2021, o prazo máximo para o recebimento definitivo será de até 10 (dez) dias úteis.</w:t>
      </w:r>
      <w:commentRangeEnd w:id="14"/>
      <w:r>
        <w:commentReference w:id="14"/>
      </w:r>
      <w:r>
        <w:rPr>
          <w:i w:val="false"/>
          <w:iCs w:val="false"/>
          <w:color w:val="000000"/>
          <w:lang w:eastAsia="en-US"/>
        </w:rPr>
      </w:r>
    </w:p>
    <w:p>
      <w:pPr>
        <w:pStyle w:val="Nvel02"/>
        <w:numPr>
          <w:ilvl w:val="1"/>
          <w:numId w:val="3"/>
        </w:numPr>
        <w:ind w:left="0" w:right="0" w:hanging="0"/>
        <w:rPr>
          <w:color w:val="000000"/>
        </w:rPr>
      </w:pPr>
      <w:r>
        <w:rPr>
          <w:i w:val="false"/>
          <w:iCs w:val="false"/>
          <w:color w:val="000000"/>
          <w:lang w:eastAsia="en-US"/>
        </w:rPr>
        <w:t>O prazo para recebimento definitivo poderá ser excepcionalmente prorrogado, de forma justificada, por igual período, quando houver necessidade de diligências para a aferição do atendimento das exigências contratuais.</w:t>
      </w:r>
    </w:p>
    <w:p>
      <w:pPr>
        <w:pStyle w:val="Nvel02"/>
        <w:numPr>
          <w:ilvl w:val="1"/>
          <w:numId w:val="3"/>
        </w:numPr>
        <w:ind w:left="0" w:right="0" w:hanging="0"/>
        <w:rPr>
          <w:color w:val="000000"/>
        </w:rPr>
      </w:pPr>
      <w:r>
        <w:rPr>
          <w:i w:val="false"/>
          <w:iCs w:val="false"/>
          <w:color w:val="000000"/>
          <w:lang w:eastAsia="en-US"/>
        </w:rPr>
        <w:t>No caso de controvérsia sobre a execução do objeto, quanto à dimensão, qualidade e quantidade, deverá ser observado o teor do art. 143 da Lei nº 14.133, de 2021, comunicando-se à empresa para emissão de Nota Fiscal quanto à parcela incontroversa da execução do objeto, para efeito de liquidação e pagamento.</w:t>
      </w:r>
    </w:p>
    <w:p>
      <w:pPr>
        <w:pStyle w:val="Nvel02"/>
        <w:numPr>
          <w:ilvl w:val="1"/>
          <w:numId w:val="3"/>
        </w:numPr>
        <w:ind w:left="0" w:right="0" w:hanging="0"/>
        <w:rPr>
          <w:color w:val="000000"/>
        </w:rPr>
      </w:pPr>
      <w:r>
        <w:rPr>
          <w:i w:val="false"/>
          <w:iCs w:val="false"/>
          <w:color w:val="00000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pPr>
        <w:pStyle w:val="Nvel02"/>
        <w:numPr>
          <w:ilvl w:val="1"/>
          <w:numId w:val="3"/>
        </w:numPr>
        <w:ind w:left="0" w:right="0" w:hanging="0"/>
        <w:rPr>
          <w:color w:val="000000"/>
        </w:rPr>
      </w:pPr>
      <w:r>
        <w:rPr>
          <w:i w:val="false"/>
          <w:iCs w:val="false"/>
          <w:color w:val="000000"/>
          <w:lang w:eastAsia="en-US"/>
        </w:rPr>
        <w:t>O recebimento provisório ou definitivo não excluirá a responsabilidade civil pela solidez e pela segurança dos bens nem a responsabilidade ético-profissional pela perfeita execução do contrato.</w:t>
      </w:r>
    </w:p>
    <w:p>
      <w:pPr>
        <w:pStyle w:val="Nvel02"/>
        <w:numPr>
          <w:ilvl w:val="1"/>
          <w:numId w:val="3"/>
        </w:numPr>
        <w:ind w:left="0" w:right="0" w:hanging="0"/>
        <w:rPr>
          <w:color w:val="000000"/>
        </w:rPr>
      </w:pPr>
      <w:r>
        <w:rPr>
          <w:i w:val="false"/>
          <w:iCs w:val="false"/>
          <w:color w:val="000000"/>
        </w:rPr>
        <w:t>As atividades de montagem, instalação e quaisquer outras necessárias para o funcionamento ou uso do bem correrão por conta do Contratado e são condição para o recebimento do objeto.</w:t>
      </w:r>
    </w:p>
    <w:p>
      <w:pPr>
        <w:pStyle w:val="Nvel1SemNumerao"/>
        <w:ind w:left="0" w:hanging="0"/>
        <w:rPr>
          <w:color w:val="000000"/>
        </w:rPr>
      </w:pPr>
      <w:r>
        <w:rPr>
          <w:i w:val="false"/>
          <w:iCs w:val="false"/>
          <w:color w:val="000000"/>
        </w:rPr>
        <w:t>Liquidação</w:t>
      </w:r>
    </w:p>
    <w:p>
      <w:pPr>
        <w:pStyle w:val="Nvel02"/>
        <w:numPr>
          <w:ilvl w:val="1"/>
          <w:numId w:val="3"/>
        </w:numPr>
        <w:ind w:left="0" w:right="0" w:hanging="0"/>
        <w:rPr>
          <w:color w:val="000000"/>
        </w:rPr>
      </w:pPr>
      <w:r>
        <w:rPr>
          <w:i w:val="false"/>
          <w:iCs w:val="false"/>
          <w:color w:val="000000"/>
        </w:rPr>
        <w:t>Recebida a Nota Fiscal ou documento de cobrança equivalente, correrá o prazo de dez dias úteis para fins de liquidação, na forma desta seção, prorrogáveis por igual período, nos termos do art. 7º, §3º da Instrução Normativa SEGES/ME nº 77/2022.</w:t>
      </w:r>
    </w:p>
    <w:p>
      <w:pPr>
        <w:pStyle w:val="Nvel02"/>
        <w:numPr>
          <w:ilvl w:val="1"/>
          <w:numId w:val="3"/>
        </w:numPr>
        <w:ind w:left="0" w:right="0" w:hanging="0"/>
        <w:rPr>
          <w:color w:val="000000"/>
        </w:rPr>
      </w:pPr>
      <w:r>
        <w:rPr>
          <w:i w:val="false"/>
          <w:iCs w:val="false"/>
          <w:color w:val="000000"/>
        </w:rPr>
        <w:t>O prazo de que trata o item anterior será reduzido à metade, mantendo-se a possibilidade de prorrogação, no caso de contratações decorrentes de despesas cujos valores não ultrapassem o limite de que trata o inciso II do art. 75 da Lei nº 14.133, de 2021.</w:t>
      </w:r>
    </w:p>
    <w:p>
      <w:pPr>
        <w:pStyle w:val="Nvel02"/>
        <w:numPr>
          <w:ilvl w:val="1"/>
          <w:numId w:val="3"/>
        </w:numPr>
        <w:ind w:left="0" w:right="0" w:hanging="0"/>
        <w:rPr>
          <w:color w:val="000000"/>
        </w:rPr>
      </w:pPr>
      <w:r>
        <w:rPr>
          <w:i w:val="false"/>
          <w:iCs w:val="false"/>
          <w:color w:val="000000"/>
          <w:lang w:eastAsia="en-US"/>
        </w:rPr>
        <w:t xml:space="preserve">Para fins de liquidação, o setor competente deverá verificar se a nota fiscal ou instrumento de cobrança equivalente apresentado expressa os elementos necessários e essenciais do documento, tais como: </w:t>
      </w:r>
    </w:p>
    <w:p>
      <w:pPr>
        <w:pStyle w:val="Nivel3"/>
        <w:numPr>
          <w:ilvl w:val="2"/>
          <w:numId w:val="45"/>
        </w:numPr>
        <w:ind w:left="284" w:hanging="0"/>
        <w:rPr>
          <w:color w:val="000000"/>
        </w:rPr>
      </w:pPr>
      <w:r>
        <w:rPr>
          <w:i w:val="false"/>
          <w:iCs w:val="false"/>
          <w:color w:val="000000"/>
        </w:rPr>
        <w:t>o prazo de validade;</w:t>
      </w:r>
    </w:p>
    <w:p>
      <w:pPr>
        <w:pStyle w:val="Nivel3"/>
        <w:numPr>
          <w:ilvl w:val="2"/>
          <w:numId w:val="46"/>
        </w:numPr>
        <w:ind w:left="284" w:hanging="0"/>
        <w:rPr>
          <w:color w:val="000000"/>
        </w:rPr>
      </w:pPr>
      <w:r>
        <w:rPr>
          <w:i w:val="false"/>
          <w:iCs w:val="false"/>
          <w:color w:val="000000"/>
        </w:rPr>
        <w:t xml:space="preserve">a data da emissão; </w:t>
      </w:r>
    </w:p>
    <w:p>
      <w:pPr>
        <w:pStyle w:val="Nivel3"/>
        <w:numPr>
          <w:ilvl w:val="2"/>
          <w:numId w:val="47"/>
        </w:numPr>
        <w:ind w:left="284" w:hanging="0"/>
        <w:rPr>
          <w:color w:val="000000"/>
        </w:rPr>
      </w:pPr>
      <w:r>
        <w:rPr>
          <w:i w:val="false"/>
          <w:iCs w:val="false"/>
          <w:color w:val="000000"/>
        </w:rPr>
        <w:t xml:space="preserve">os dados do contrato e do órgão contratante; </w:t>
      </w:r>
    </w:p>
    <w:p>
      <w:pPr>
        <w:pStyle w:val="Nivel3"/>
        <w:numPr>
          <w:ilvl w:val="2"/>
          <w:numId w:val="48"/>
        </w:numPr>
        <w:ind w:left="284" w:hanging="0"/>
        <w:rPr>
          <w:color w:val="000000"/>
        </w:rPr>
      </w:pPr>
      <w:r>
        <w:rPr>
          <w:i w:val="false"/>
          <w:iCs w:val="false"/>
          <w:color w:val="000000"/>
        </w:rPr>
        <w:t xml:space="preserve">o período respectivo de execução do contrato; </w:t>
      </w:r>
    </w:p>
    <w:p>
      <w:pPr>
        <w:pStyle w:val="Nivel3"/>
        <w:numPr>
          <w:ilvl w:val="2"/>
          <w:numId w:val="49"/>
        </w:numPr>
        <w:ind w:left="284" w:hanging="0"/>
        <w:rPr>
          <w:color w:val="000000"/>
        </w:rPr>
      </w:pPr>
      <w:r>
        <w:rPr>
          <w:i w:val="false"/>
          <w:iCs w:val="false"/>
          <w:color w:val="000000"/>
        </w:rPr>
        <w:t xml:space="preserve">o valor a pagar; e </w:t>
      </w:r>
    </w:p>
    <w:p>
      <w:pPr>
        <w:pStyle w:val="Nivel3"/>
        <w:numPr>
          <w:ilvl w:val="2"/>
          <w:numId w:val="50"/>
        </w:numPr>
        <w:ind w:left="284" w:hanging="0"/>
        <w:rPr>
          <w:color w:val="000000"/>
        </w:rPr>
      </w:pPr>
      <w:r>
        <w:rPr>
          <w:i w:val="false"/>
          <w:iCs w:val="false"/>
          <w:color w:val="000000"/>
        </w:rPr>
        <w:t>eventual destaque do valor de retenções tributárias cabíveis.</w:t>
      </w:r>
    </w:p>
    <w:p>
      <w:pPr>
        <w:pStyle w:val="Nvel02"/>
        <w:numPr>
          <w:ilvl w:val="1"/>
          <w:numId w:val="3"/>
        </w:numPr>
        <w:ind w:left="0" w:right="0" w:hanging="0"/>
        <w:rPr>
          <w:color w:val="000000"/>
        </w:rPr>
      </w:pPr>
      <w:r>
        <w:rPr>
          <w:i w:val="false"/>
          <w:iCs w:val="false"/>
          <w:color w:val="000000"/>
        </w:rPr>
        <w:t xml:space="preserve"> </w:t>
      </w:r>
      <w:r>
        <w:rPr>
          <w:i w:val="false"/>
          <w:iCs w:val="false"/>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pPr>
        <w:pStyle w:val="Nvel02"/>
        <w:numPr>
          <w:ilvl w:val="1"/>
          <w:numId w:val="3"/>
        </w:numPr>
        <w:ind w:left="0" w:right="0" w:hanging="0"/>
        <w:rPr>
          <w:color w:val="000000"/>
        </w:rPr>
      </w:pPr>
      <w:r>
        <w:rPr>
          <w:i w:val="false"/>
          <w:iCs w:val="false"/>
          <w:color w:val="000000"/>
        </w:rPr>
        <w:t xml:space="preserve"> </w:t>
      </w:r>
      <w:r>
        <w:rPr>
          <w:i w:val="false"/>
          <w:iCs w:val="false"/>
          <w:color w:val="000000"/>
        </w:rPr>
        <w:t>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pPr>
        <w:pStyle w:val="Nvel02"/>
        <w:numPr>
          <w:ilvl w:val="1"/>
          <w:numId w:val="3"/>
        </w:numPr>
        <w:ind w:left="0" w:right="0" w:hanging="0"/>
        <w:rPr>
          <w:color w:val="000000"/>
        </w:rPr>
      </w:pPr>
      <w:r>
        <w:rPr>
          <w:i w:val="false"/>
          <w:iCs w:val="false"/>
          <w:color w:val="000000"/>
        </w:rPr>
        <w:t>A Administração deverá realizar consulta ao SICAF para:</w:t>
      </w:r>
    </w:p>
    <w:p>
      <w:pPr>
        <w:pStyle w:val="Nivel3"/>
        <w:numPr>
          <w:ilvl w:val="2"/>
          <w:numId w:val="51"/>
        </w:numPr>
        <w:ind w:left="284" w:hanging="0"/>
        <w:rPr>
          <w:color w:val="000000"/>
        </w:rPr>
      </w:pPr>
      <w:r>
        <w:rPr>
          <w:i w:val="false"/>
          <w:iCs w:val="false"/>
          <w:color w:val="000000"/>
        </w:rPr>
        <w:t>verificar a manutenção das condições de habilitação exigidas;</w:t>
      </w:r>
    </w:p>
    <w:p>
      <w:pPr>
        <w:pStyle w:val="Nivel3"/>
        <w:numPr>
          <w:ilvl w:val="2"/>
          <w:numId w:val="52"/>
        </w:numPr>
        <w:ind w:left="284" w:hanging="0"/>
        <w:rPr>
          <w:color w:val="000000"/>
        </w:rPr>
      </w:pPr>
      <w:r>
        <w:rPr>
          <w:i w:val="false"/>
          <w:iCs w:val="false"/>
          <w:color w:val="000000"/>
        </w:rPr>
        <w:t>identificar possível razão que impeça a participação em licitação/contratação no âmbito do órgão ou entidade, tais como a proibição de contratar com a Administração ou com o Poder Público, bem como ocorrências impeditivas indiretas.</w:t>
      </w:r>
    </w:p>
    <w:p>
      <w:pPr>
        <w:pStyle w:val="Nvel02"/>
        <w:numPr>
          <w:ilvl w:val="1"/>
          <w:numId w:val="3"/>
        </w:numPr>
        <w:ind w:left="0" w:right="0" w:hanging="0"/>
        <w:rPr>
          <w:color w:val="000000"/>
        </w:rPr>
      </w:pPr>
      <w:r>
        <w:rPr>
          <w:i w:val="false"/>
          <w:iCs w:val="false"/>
          <w:color w:val="000000"/>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pPr>
        <w:pStyle w:val="Nvel02"/>
        <w:numPr>
          <w:ilvl w:val="1"/>
          <w:numId w:val="3"/>
        </w:numPr>
        <w:ind w:left="0" w:right="0" w:hanging="0"/>
        <w:rPr>
          <w:color w:val="000000"/>
        </w:rPr>
      </w:pPr>
      <w:r>
        <w:rPr>
          <w:i w:val="false"/>
          <w:iCs w:val="false"/>
          <w:color w:val="000000"/>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pPr>
        <w:pStyle w:val="Nvel02"/>
        <w:numPr>
          <w:ilvl w:val="1"/>
          <w:numId w:val="3"/>
        </w:numPr>
        <w:ind w:left="0" w:right="0" w:hanging="0"/>
        <w:rPr>
          <w:color w:val="000000"/>
        </w:rPr>
      </w:pPr>
      <w:r>
        <w:rPr>
          <w:i w:val="false"/>
          <w:iCs w:val="false"/>
          <w:color w:val="000000"/>
          <w:lang w:eastAsia="en-US"/>
        </w:rPr>
        <w:t xml:space="preserve">Persistindo a irregularidade, o Contratante deverá adotar as medidas necessárias à rescisão contratual nos autos do processo administrativo correspondente, assegurada ao Contratado a ampla defesa. </w:t>
      </w:r>
    </w:p>
    <w:p>
      <w:pPr>
        <w:pStyle w:val="Nvel02"/>
        <w:numPr>
          <w:ilvl w:val="1"/>
          <w:numId w:val="3"/>
        </w:numPr>
        <w:ind w:left="0" w:right="0" w:hanging="0"/>
        <w:rPr>
          <w:color w:val="000000"/>
        </w:rPr>
      </w:pPr>
      <w:r>
        <w:rPr>
          <w:i w:val="false"/>
          <w:iCs w:val="false"/>
          <w:color w:val="000000"/>
        </w:rPr>
        <w:t>Havendo a efetiva execução do objeto, os pagamentos serão realizados normalmente, até que se decida pela rescisão do contrato, caso o Contratado não regularize sua situação junto ao SICAF.</w:t>
      </w:r>
    </w:p>
    <w:p>
      <w:pPr>
        <w:pStyle w:val="Nvel1SemNumerao"/>
        <w:ind w:left="0" w:hanging="0"/>
        <w:rPr>
          <w:color w:val="000000"/>
        </w:rPr>
      </w:pPr>
      <w:r>
        <w:rPr>
          <w:i w:val="false"/>
          <w:iCs w:val="false"/>
          <w:color w:val="000000"/>
        </w:rPr>
        <w:t>Prazo de pagamento</w:t>
      </w:r>
    </w:p>
    <w:p>
      <w:pPr>
        <w:pStyle w:val="Nvel02"/>
        <w:numPr>
          <w:ilvl w:val="1"/>
          <w:numId w:val="3"/>
        </w:numPr>
        <w:ind w:left="0" w:right="0" w:hanging="0"/>
        <w:rPr>
          <w:color w:val="000000"/>
        </w:rPr>
      </w:pPr>
      <w:r>
        <w:rPr>
          <w:i w:val="false"/>
          <w:iCs w:val="false"/>
          <w:color w:val="000000"/>
        </w:rPr>
        <w:t>O pagamento será efetuado no prazo de até 10 (dez) dias úteis contados da finalização da liquidação da despesa, conforme seção anterior, nos termos da Instrução Normativa SEGES/ME nº 77, de 2022.</w:t>
      </w:r>
    </w:p>
    <w:p>
      <w:pPr>
        <w:pStyle w:val="Nvel02"/>
        <w:numPr>
          <w:ilvl w:val="1"/>
          <w:numId w:val="3"/>
        </w:numPr>
        <w:ind w:left="0" w:right="0" w:hanging="0"/>
        <w:rPr>
          <w:color w:val="000000"/>
        </w:rPr>
      </w:pPr>
      <w:commentRangeStart w:id="15"/>
      <w:r>
        <w:rPr>
          <w:i w:val="false"/>
          <w:iCs w:val="false"/>
          <w:color w:val="000000"/>
          <w:lang w:eastAsia="en-US"/>
        </w:rPr>
        <w:t>No caso de atraso pelo Contratante, os valores devidos ao Contratado serão atualizados monetariamente entre o termo final do prazo de pagamento até a data de sua efetiva realização, mediante aplicação do índi</w:t>
      </w:r>
      <w:r>
        <w:rPr>
          <w:rFonts w:eastAsia="Arial" w:cs="Arial"/>
          <w:i w:val="false"/>
          <w:iCs w:val="false"/>
          <w:color w:val="000000"/>
          <w:sz w:val="20"/>
          <w:szCs w:val="20"/>
          <w:lang w:eastAsia="en-US"/>
        </w:rPr>
        <w:t>ce Índice de Preços ao Consumidor Amplo (IPCA), de correção monetária.</w:t>
      </w:r>
      <w:commentRangeEnd w:id="15"/>
      <w:r>
        <w:commentReference w:id="15"/>
      </w:r>
      <w:r>
        <w:rPr>
          <w:rFonts w:eastAsia="Arial" w:cs="Arial"/>
          <w:i w:val="false"/>
          <w:iCs w:val="false"/>
          <w:color w:val="000000"/>
          <w:sz w:val="20"/>
          <w:szCs w:val="20"/>
          <w:lang w:eastAsia="en-US"/>
        </w:rPr>
      </w:r>
    </w:p>
    <w:p>
      <w:pPr>
        <w:pStyle w:val="Nvel1SemNumerao"/>
        <w:ind w:left="0" w:hanging="0"/>
        <w:rPr>
          <w:color w:val="000000"/>
        </w:rPr>
      </w:pPr>
      <w:r>
        <w:rPr>
          <w:i w:val="false"/>
          <w:iCs w:val="false"/>
          <w:color w:val="000000"/>
        </w:rPr>
        <w:t>Forma de pagamento</w:t>
      </w:r>
    </w:p>
    <w:p>
      <w:pPr>
        <w:pStyle w:val="Nvel02"/>
        <w:numPr>
          <w:ilvl w:val="1"/>
          <w:numId w:val="3"/>
        </w:numPr>
        <w:ind w:left="0" w:right="0" w:hanging="0"/>
        <w:rPr>
          <w:color w:val="000000"/>
        </w:rPr>
      </w:pPr>
      <w:r>
        <w:rPr>
          <w:i w:val="false"/>
          <w:iCs w:val="false"/>
          <w:color w:val="000000"/>
        </w:rPr>
        <w:t>O pagamento será realizado por meio de ordem bancária, para crédito em banco, agência e conta corrente indicados pelo Contratado.</w:t>
      </w:r>
    </w:p>
    <w:p>
      <w:pPr>
        <w:pStyle w:val="Nvel02"/>
        <w:numPr>
          <w:ilvl w:val="1"/>
          <w:numId w:val="3"/>
        </w:numPr>
        <w:ind w:left="0" w:right="0" w:hanging="0"/>
        <w:rPr>
          <w:color w:val="000000"/>
        </w:rPr>
      </w:pPr>
      <w:r>
        <w:rPr>
          <w:i w:val="false"/>
          <w:iCs w:val="false"/>
          <w:color w:val="000000"/>
        </w:rPr>
        <w:t>Será considerada data do pagamento o dia em que constar como emitida a ordem bancária para pagamento.</w:t>
      </w:r>
    </w:p>
    <w:p>
      <w:pPr>
        <w:pStyle w:val="Nvel02"/>
        <w:numPr>
          <w:ilvl w:val="1"/>
          <w:numId w:val="3"/>
        </w:numPr>
        <w:ind w:left="0" w:right="0" w:hanging="0"/>
        <w:rPr>
          <w:color w:val="000000"/>
        </w:rPr>
      </w:pPr>
      <w:commentRangeStart w:id="16"/>
      <w:r>
        <w:rPr>
          <w:i w:val="false"/>
          <w:iCs w:val="false"/>
          <w:color w:val="000000"/>
          <w:lang w:eastAsia="en-US"/>
        </w:rPr>
        <w:t>Quando do pagamento, será efetuada a retenção tributária prevista na legislação aplicável.</w:t>
      </w:r>
    </w:p>
    <w:p>
      <w:pPr>
        <w:pStyle w:val="Nvel02"/>
        <w:numPr>
          <w:ilvl w:val="1"/>
          <w:numId w:val="3"/>
        </w:numPr>
        <w:ind w:left="0" w:right="0" w:hanging="0"/>
        <w:rPr>
          <w:color w:val="000000"/>
        </w:rPr>
      </w:pPr>
      <w:r>
        <w:rPr>
          <w:i w:val="false"/>
          <w:iCs w:val="false"/>
          <w:color w:val="000000"/>
        </w:rPr>
        <w:t>Independentemente</w:t>
      </w:r>
      <w:r>
        <w:rPr>
          <w:i w:val="false"/>
          <w:iCs w:val="false"/>
          <w:color w:val="000000"/>
          <w:lang w:eastAsia="en-US"/>
        </w:rPr>
        <w:t xml:space="preserve"> do percentual de tributo inserido na planilha, quando houver, serão retidos na fonte, quando da realização do pagamento, os percentuais estabelecidos na legislação vigente.</w:t>
      </w:r>
      <w:commentRangeEnd w:id="16"/>
      <w:r>
        <w:commentReference w:id="16"/>
      </w:r>
      <w:r>
        <w:rPr>
          <w:i w:val="false"/>
          <w:iCs w:val="false"/>
          <w:color w:val="000000"/>
          <w:lang w:eastAsia="en-US"/>
        </w:rPr>
      </w:r>
    </w:p>
    <w:p>
      <w:pPr>
        <w:pStyle w:val="Nvel02"/>
        <w:numPr>
          <w:ilvl w:val="1"/>
          <w:numId w:val="3"/>
        </w:numPr>
        <w:ind w:left="0" w:right="0" w:hanging="0"/>
        <w:rPr>
          <w:color w:val="000000"/>
        </w:rPr>
      </w:pPr>
      <w:r>
        <w:rPr>
          <w:i w:val="false"/>
          <w:iCs w:val="false"/>
          <w:color w:val="000000"/>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pPr>
        <w:pStyle w:val="Nvel1SemNumerao"/>
        <w:ind w:left="0" w:hanging="0"/>
        <w:rPr>
          <w:color w:val="000000"/>
        </w:rPr>
      </w:pPr>
      <w:commentRangeStart w:id="17"/>
      <w:r>
        <w:rPr>
          <w:i w:val="false"/>
          <w:iCs w:val="false"/>
          <w:color w:val="000000"/>
          <w:lang w:eastAsia="en-US"/>
        </w:rPr>
        <w:t>Cessão de Crédito</w:t>
      </w:r>
      <w:commentRangeEnd w:id="17"/>
      <w:r>
        <w:commentReference w:id="17"/>
      </w:r>
      <w:r>
        <w:rPr>
          <w:i w:val="false"/>
          <w:iCs w:val="false"/>
          <w:color w:val="000000"/>
          <w:lang w:eastAsia="en-US"/>
        </w:rPr>
      </w:r>
    </w:p>
    <w:p>
      <w:pPr>
        <w:pStyle w:val="Nvel02"/>
        <w:numPr>
          <w:ilvl w:val="1"/>
          <w:numId w:val="3"/>
        </w:numPr>
        <w:ind w:left="0" w:right="0" w:hanging="0"/>
        <w:rPr>
          <w:color w:val="000000"/>
        </w:rPr>
      </w:pPr>
      <w:commentRangeStart w:id="18"/>
      <w:r>
        <w:rPr>
          <w:i w:val="false"/>
          <w:iCs w:val="false"/>
          <w:color w:val="000000"/>
          <w:lang w:eastAsia="en-US"/>
        </w:rPr>
        <w:t>As cessões de crédito dependerão de prévia aprovação do Contratante.</w:t>
      </w:r>
      <w:commentRangeEnd w:id="18"/>
      <w:r>
        <w:commentReference w:id="18"/>
      </w:r>
      <w:r>
        <w:rPr>
          <w:i w:val="false"/>
          <w:iCs w:val="false"/>
          <w:color w:val="000000"/>
          <w:lang w:eastAsia="en-US"/>
        </w:rPr>
      </w:r>
    </w:p>
    <w:p>
      <w:pPr>
        <w:pStyle w:val="Nivel3"/>
        <w:numPr>
          <w:ilvl w:val="2"/>
          <w:numId w:val="53"/>
        </w:numPr>
        <w:ind w:left="284" w:hanging="0"/>
        <w:rPr>
          <w:color w:val="000000"/>
        </w:rPr>
      </w:pPr>
      <w:commentRangeStart w:id="19"/>
      <w:r>
        <w:rPr>
          <w:i w:val="false"/>
          <w:iCs w:val="false"/>
          <w:color w:val="000000"/>
          <w:lang w:eastAsia="en-US"/>
        </w:rPr>
        <w:t>A eficácia da cessão de crédito, em relação à Administração, está condicionada à celebração de termo aditivo ao contrato administrativo.</w:t>
      </w:r>
    </w:p>
    <w:p>
      <w:pPr>
        <w:pStyle w:val="Nivel3"/>
        <w:numPr>
          <w:ilvl w:val="2"/>
          <w:numId w:val="54"/>
        </w:numPr>
        <w:ind w:left="284" w:hanging="0"/>
        <w:rPr>
          <w:color w:val="000000"/>
        </w:rPr>
      </w:pPr>
      <w:r>
        <w:rPr>
          <w:i w:val="false"/>
          <w:iCs w:val="false"/>
          <w:color w:val="000000"/>
          <w:lang w:eastAsia="en-US"/>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pPr>
        <w:pStyle w:val="Nivel3"/>
        <w:numPr>
          <w:ilvl w:val="2"/>
          <w:numId w:val="55"/>
        </w:numPr>
        <w:ind w:left="284" w:hanging="0"/>
        <w:rPr>
          <w:color w:val="000000"/>
        </w:rPr>
      </w:pPr>
      <w:r>
        <w:rPr>
          <w:i w:val="false"/>
          <w:iCs w:val="false"/>
          <w:color w:val="000000"/>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pPr>
        <w:pStyle w:val="Nivel3"/>
        <w:numPr>
          <w:ilvl w:val="2"/>
          <w:numId w:val="56"/>
        </w:numPr>
        <w:ind w:left="284" w:hanging="0"/>
        <w:rPr>
          <w:color w:val="000000"/>
        </w:rPr>
      </w:pPr>
      <w:r>
        <w:rPr>
          <w:i w:val="false"/>
          <w:iCs w:val="false"/>
          <w:color w:val="000000"/>
          <w:lang w:eastAsia="en-US"/>
        </w:rPr>
        <w:t>A cessão de crédito não afetará a execução do objeto contratado, que continuará sob a integral responsabilidade do Contratado.</w:t>
      </w:r>
      <w:commentRangeEnd w:id="19"/>
      <w:r>
        <w:commentReference w:id="19"/>
      </w:r>
      <w:r>
        <w:rPr>
          <w:i w:val="false"/>
          <w:iCs w:val="false"/>
          <w:color w:val="000000"/>
          <w:lang w:eastAsia="en-US"/>
        </w:rPr>
      </w:r>
    </w:p>
    <w:p>
      <w:pPr>
        <w:pStyle w:val="Nvel02"/>
        <w:numPr>
          <w:ilvl w:val="1"/>
          <w:numId w:val="3"/>
        </w:numPr>
        <w:ind w:left="0" w:right="0" w:hanging="0"/>
        <w:rPr>
          <w:color w:val="000000"/>
        </w:rPr>
      </w:pPr>
      <w:commentRangeStart w:id="20"/>
      <w:r>
        <w:rPr>
          <w:i w:val="false"/>
          <w:iCs w:val="false"/>
          <w:color w:val="000000"/>
          <w:lang w:eastAsia="en-US"/>
        </w:rPr>
        <w:t>O disposto nesta seção não afeta as operações de crédito de que trata a Instrução Normativa SEGES/MGI nº 82, de 21 de fevereiro de 2025, as quais ficam por esta regidas.</w:t>
      </w:r>
      <w:commentRangeEnd w:id="20"/>
      <w:r>
        <w:commentReference w:id="20"/>
      </w:r>
      <w:r>
        <w:rPr>
          <w:i w:val="false"/>
          <w:iCs w:val="false"/>
          <w:color w:val="000000"/>
          <w:lang w:eastAsia="en-US"/>
        </w:rPr>
      </w:r>
    </w:p>
    <w:p>
      <w:pPr>
        <w:pStyle w:val="Nvel1SemNumerao"/>
        <w:ind w:left="0" w:hanging="0"/>
        <w:rPr>
          <w:color w:val="000000"/>
        </w:rPr>
      </w:pPr>
      <w:r>
        <w:rPr>
          <w:i w:val="false"/>
          <w:iCs w:val="false"/>
          <w:color w:val="000000"/>
        </w:rPr>
        <w:t>Reajuste</w:t>
      </w:r>
    </w:p>
    <w:p>
      <w:pPr>
        <w:pStyle w:val="Nvel02"/>
        <w:numPr>
          <w:ilvl w:val="1"/>
          <w:numId w:val="3"/>
        </w:numPr>
        <w:ind w:left="0" w:right="0" w:hanging="0"/>
        <w:rPr>
          <w:color w:val="000000"/>
        </w:rPr>
      </w:pPr>
      <w:bookmarkStart w:id="8" w:name="_Hlk169693537"/>
      <w:r>
        <w:rPr>
          <w:i w:val="false"/>
          <w:iCs w:val="false"/>
          <w:color w:val="000000"/>
        </w:rPr>
        <w:t xml:space="preserve">Os preços inicialmente contratados são fixos e irreajustáveis no prazo de um ano contado da data do </w:t>
      </w:r>
      <w:bookmarkEnd w:id="8"/>
      <w:r>
        <w:rPr>
          <w:i w:val="false"/>
          <w:iCs w:val="false"/>
          <w:color w:val="000000"/>
        </w:rPr>
        <w:t>Projeto de Venda.</w:t>
      </w:r>
    </w:p>
    <w:p>
      <w:pPr>
        <w:pStyle w:val="Nvel02"/>
        <w:widowControl/>
        <w:numPr>
          <w:ilvl w:val="1"/>
          <w:numId w:val="3"/>
        </w:numPr>
        <w:shd w:val="clear" w:color="auto" w:fill="auto"/>
        <w:bidi w:val="0"/>
        <w:spacing w:lineRule="auto" w:line="276" w:before="120" w:after="120"/>
        <w:ind w:left="0" w:right="0" w:hanging="0"/>
        <w:rPr>
          <w:color w:val="000000"/>
        </w:rPr>
      </w:pPr>
      <w:commentRangeStart w:id="21"/>
      <w:r>
        <w:rPr>
          <w:rFonts w:eastAsia="Arial" w:cs="Arial"/>
          <w:i w:val="false"/>
          <w:iCs w:val="false"/>
          <w:color w:val="000000"/>
          <w:sz w:val="20"/>
          <w:szCs w:val="20"/>
          <w:lang w:eastAsia="pt-BR"/>
        </w:rPr>
        <w:t>Após o interregno de um ano, e independentemente de pedido do C</w:t>
      </w:r>
      <w:commentRangeStart w:id="22"/>
      <w:r>
        <w:rPr>
          <w:rFonts w:eastAsia="Arial" w:cs="Arial"/>
          <w:i w:val="false"/>
          <w:iCs w:val="false"/>
          <w:color w:val="000000"/>
          <w:sz w:val="20"/>
          <w:szCs w:val="20"/>
          <w:lang w:eastAsia="pt-BR"/>
        </w:rPr>
        <w:t>ontratado</w:t>
      </w:r>
      <w:r>
        <w:rPr>
          <w:rFonts w:eastAsia="Arial" w:cs="Arial"/>
          <w:i w:val="false"/>
          <w:iCs w:val="false"/>
          <w:color w:val="000000"/>
          <w:sz w:val="20"/>
          <w:szCs w:val="20"/>
          <w:lang w:eastAsia="pt-BR"/>
        </w:rPr>
      </w:r>
      <w:commentRangeEnd w:id="22"/>
      <w:r>
        <w:commentReference w:id="22"/>
      </w:r>
      <w:r>
        <w:rPr>
          <w:rFonts w:eastAsia="Arial" w:cs="Arial"/>
          <w:i w:val="false"/>
          <w:iCs w:val="false"/>
          <w:color w:val="000000"/>
          <w:sz w:val="20"/>
          <w:szCs w:val="20"/>
          <w:lang w:eastAsia="pt-BR"/>
        </w:rPr>
        <w:t>, os preços iniciais serão reajustados, mediante a aplicação, pelo Contratante, do índice Índice de Preços ao Consumidor Amplo (IPCA), exclusivamente para as obrigações iniciadas e concluídas após a ocorrência da anualidade</w:t>
      </w:r>
      <w:r>
        <w:rPr>
          <w:rFonts w:eastAsia="Arial" w:cs="Arial"/>
          <w:i w:val="false"/>
          <w:iCs w:val="false"/>
          <w:color w:val="000000"/>
          <w:sz w:val="20"/>
          <w:szCs w:val="20"/>
          <w:lang w:eastAsia="pt-BR"/>
        </w:rPr>
      </w:r>
      <w:commentRangeEnd w:id="21"/>
      <w:r>
        <w:commentReference w:id="21"/>
      </w:r>
      <w:r>
        <w:rPr>
          <w:rFonts w:eastAsia="Arial" w:cs="Arial"/>
          <w:i w:val="false"/>
          <w:iCs w:val="false"/>
          <w:color w:val="000000"/>
          <w:sz w:val="20"/>
          <w:szCs w:val="20"/>
          <w:lang w:eastAsia="pt-BR"/>
        </w:rPr>
        <w:t>.</w:t>
      </w:r>
    </w:p>
    <w:p>
      <w:pPr>
        <w:pStyle w:val="Nvel02"/>
        <w:numPr>
          <w:ilvl w:val="1"/>
          <w:numId w:val="3"/>
        </w:numPr>
        <w:ind w:left="0" w:right="0" w:hanging="0"/>
        <w:rPr>
          <w:color w:val="000000"/>
        </w:rPr>
      </w:pPr>
      <w:r>
        <w:rPr>
          <w:i w:val="false"/>
          <w:iCs w:val="false"/>
          <w:color w:val="000000"/>
        </w:rPr>
        <w:t>Nos reajustes subsequentes ao primeiro, o interregno mínimo de um ano será contado a partir dos efeitos financeiros do último reajuste.</w:t>
      </w:r>
    </w:p>
    <w:p>
      <w:pPr>
        <w:pStyle w:val="Nvel02"/>
        <w:numPr>
          <w:ilvl w:val="1"/>
          <w:numId w:val="3"/>
        </w:numPr>
        <w:ind w:left="0" w:right="0" w:hanging="0"/>
        <w:rPr>
          <w:color w:val="000000"/>
        </w:rPr>
      </w:pPr>
      <w:r>
        <w:rPr>
          <w:i w:val="false"/>
          <w:iCs w:val="false"/>
          <w:color w:val="000000"/>
        </w:rPr>
        <w:t>No caso de atraso ou não divulgação do(s) índice (s) de reajustamento, o Contratante pagará ao Contratado a importância calculada pela última variação conhecida, liquidando a diferença correspondente tão logo seja(m) divulgado(s) o(s) índice(s) definitivo(s).</w:t>
      </w:r>
    </w:p>
    <w:p>
      <w:pPr>
        <w:pStyle w:val="Nvel02"/>
        <w:numPr>
          <w:ilvl w:val="1"/>
          <w:numId w:val="3"/>
        </w:numPr>
        <w:ind w:left="0" w:right="0" w:hanging="0"/>
        <w:rPr>
          <w:color w:val="000000"/>
        </w:rPr>
      </w:pPr>
      <w:r>
        <w:rPr>
          <w:i w:val="false"/>
          <w:iCs w:val="false"/>
          <w:color w:val="000000"/>
        </w:rPr>
        <w:t>Nas aferições finais, o(s) índice(s) utilizado(s) para reajuste será(ão), obrigatoriamente, o(s) definitivo(s).</w:t>
      </w:r>
    </w:p>
    <w:p>
      <w:pPr>
        <w:pStyle w:val="Nvel02"/>
        <w:numPr>
          <w:ilvl w:val="1"/>
          <w:numId w:val="3"/>
        </w:numPr>
        <w:ind w:left="0" w:right="0" w:hanging="0"/>
        <w:rPr>
          <w:color w:val="000000"/>
        </w:rPr>
      </w:pPr>
      <w:r>
        <w:rPr>
          <w:i w:val="false"/>
          <w:iCs w:val="false"/>
          <w:color w:val="000000"/>
        </w:rPr>
        <w:t>Caso o(s) índice(s) estabelecido(s) para reajustamento venha(m) a ser extinto(s) ou de qualquer forma não possa(m) mais ser utilizado(s), será(ão) adotado(s), em substituição, o(s) que vier(em) a ser determinado(s) pela legislação então em vigor.</w:t>
      </w:r>
    </w:p>
    <w:p>
      <w:pPr>
        <w:pStyle w:val="Nvel02"/>
        <w:numPr>
          <w:ilvl w:val="1"/>
          <w:numId w:val="3"/>
        </w:numPr>
        <w:ind w:left="0" w:right="0" w:hanging="0"/>
        <w:rPr>
          <w:color w:val="000000"/>
        </w:rPr>
      </w:pPr>
      <w:r>
        <w:rPr>
          <w:i w:val="false"/>
          <w:iCs w:val="false"/>
          <w:color w:val="000000"/>
        </w:rPr>
        <w:t>Na ausência de previsão legal quanto ao índice substituto, as partes elegerão novo índice oficial, para reajustamento do preço do valor remanescente, por meio de termo aditivo.</w:t>
      </w:r>
    </w:p>
    <w:p>
      <w:pPr>
        <w:pStyle w:val="Nvel02"/>
        <w:numPr>
          <w:ilvl w:val="1"/>
          <w:numId w:val="3"/>
        </w:numPr>
        <w:ind w:left="0" w:right="0" w:hanging="0"/>
        <w:rPr>
          <w:color w:val="000000"/>
        </w:rPr>
      </w:pPr>
      <w:r>
        <w:rPr>
          <w:i w:val="false"/>
          <w:iCs w:val="false"/>
          <w:color w:val="000000"/>
        </w:rPr>
        <w:t>O reajuste será realizado por apostilamento.</w:t>
      </w:r>
    </w:p>
    <w:p>
      <w:pPr>
        <w:pStyle w:val="Nivel01"/>
        <w:numPr>
          <w:ilvl w:val="0"/>
          <w:numId w:val="3"/>
        </w:numPr>
        <w:ind w:left="357" w:hanging="357"/>
        <w:rPr>
          <w:color w:val="000000"/>
        </w:rPr>
      </w:pPr>
      <w:r>
        <w:rPr>
          <w:i w:val="false"/>
          <w:iCs w:val="false"/>
          <w:color w:val="000000"/>
        </w:rPr>
        <w:t>FORMA E CRITÉRIOS DE SELEÇÃO DO FORNECEDOR E FORMA DE FORNECIMENTO</w:t>
      </w:r>
    </w:p>
    <w:p>
      <w:pPr>
        <w:pStyle w:val="Nvel1SemNumerao"/>
        <w:widowControl/>
        <w:numPr>
          <w:ilvl w:val="0"/>
          <w:numId w:val="0"/>
        </w:numPr>
        <w:suppressAutoHyphens w:val="true"/>
        <w:bidi w:val="0"/>
        <w:spacing w:lineRule="auto" w:line="276" w:before="120" w:after="120"/>
        <w:ind w:left="0" w:hanging="0"/>
        <w:jc w:val="both"/>
        <w:rPr>
          <w:color w:val="000000"/>
        </w:rPr>
      </w:pPr>
      <w:r>
        <w:rPr>
          <w:rFonts w:eastAsia="Arial" w:cs="Arial"/>
          <w:b w:val="false"/>
          <w:bCs w:val="false"/>
          <w:i w:val="false"/>
          <w:iCs w:val="false"/>
          <w:color w:val="000000"/>
          <w:kern w:val="0"/>
          <w:sz w:val="20"/>
          <w:szCs w:val="20"/>
          <w:lang w:val="pt-BR" w:eastAsia="pt-BR" w:bidi="ar-SA"/>
        </w:rPr>
        <w:t xml:space="preserve">Forma de seleção e critério de julgamento da </w:t>
      </w:r>
      <w:commentRangeStart w:id="23"/>
      <w:r>
        <w:rPr>
          <w:rFonts w:eastAsia="Arial" w:cs="Arial"/>
          <w:b w:val="false"/>
          <w:bCs w:val="false"/>
          <w:i w:val="false"/>
          <w:iCs w:val="false"/>
          <w:color w:val="000000"/>
          <w:kern w:val="0"/>
          <w:sz w:val="20"/>
          <w:szCs w:val="20"/>
          <w:lang w:val="pt-BR" w:eastAsia="pt-BR" w:bidi="ar-SA"/>
        </w:rPr>
        <w:t>proposta</w:t>
      </w:r>
      <w:bookmarkStart w:id="9" w:name="_Hlk171371350"/>
      <w:bookmarkEnd w:id="9"/>
      <w:commentRangeEnd w:id="23"/>
      <w:r>
        <w:commentReference w:id="23"/>
      </w:r>
      <w:r>
        <w:rPr>
          <w:rFonts w:eastAsia="Arial" w:cs="Arial"/>
          <w:b w:val="false"/>
          <w:bCs w:val="false"/>
          <w:i w:val="false"/>
          <w:iCs w:val="false"/>
          <w:color w:val="000000"/>
          <w:kern w:val="0"/>
          <w:sz w:val="20"/>
          <w:szCs w:val="20"/>
          <w:lang w:val="pt-BR" w:eastAsia="pt-BR" w:bidi="ar-SA"/>
        </w:rPr>
      </w:r>
    </w:p>
    <w:p>
      <w:pPr>
        <w:pStyle w:val="Nvel2Opcional1"/>
        <w:widowControl/>
        <w:numPr>
          <w:ilvl w:val="1"/>
          <w:numId w:val="3"/>
        </w:numPr>
        <w:shd w:val="clear" w:color="auto" w:fill="auto"/>
        <w:bidi w:val="0"/>
        <w:spacing w:lineRule="auto" w:line="276" w:before="120" w:after="120"/>
        <w:ind w:left="0" w:right="0" w:hanging="0"/>
        <w:jc w:val="both"/>
        <w:rPr>
          <w:color w:val="000000"/>
        </w:rPr>
      </w:pPr>
      <w:r>
        <w:rPr>
          <w:i w:val="false"/>
          <w:iCs w:val="false"/>
          <w:color w:val="000000"/>
        </w:rPr>
        <w:t xml:space="preserve">O fornecedor será selecionado por meio de contratação direta, através do procedimento de Chamada Pública, com fundamento no art.23 da Resolução CD/FBDE nº 06, de 08 de maio de 2020, com base no seguinte fundamento: </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 xml:space="preserve">Art. 23 A aquisição de gêneros alimentícios, no âmbito do PNAE, deverá obedecer ao cardápio planejado pelo nutricionista, observando as diretrizes desta Resolução, e deverá ser realizada, sempre que possível, no mesmo ente federativo em que se localizam as escolas, priorizando os alimentos orgânicos e/ou agroecológicos. </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 xml:space="preserve">Art. 24 A aquisição dos gêneros alimentícios com recursos do PNAE deverá ocorrer por: </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 xml:space="preserve">I – Dispensa de licitação, por meio de Chamada Pública, quando das compras da agricultura familiar nos termos do Art. 14 da Lei 11.947/2009 e dos arts. 29 a 49 desta Resolução, sem prejuízo das demais possibilidades de dispensa de licitação previstas na Lei 8.666/1993; </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 xml:space="preserve">II – Licitação, obrigatoriamente na modalidade de pregão, na forma eletrônica, nos termos da Lei 10.520/2002 e, subsidiariamente, da Lei 8.666/1993. </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 xml:space="preserve">Art. 25 Os contratos referentes aos processos de aquisição de gêneros alimentícios no âmbito do PNAE são regidos pela Lei nº 8.666/1993 e demais dispositivos legais aplicáveis. </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 xml:space="preserve">Art. 26 A EEx deverá dar publicidade das informações referentes ao processo de aquisição de gêneros alimentícios em órgão de divulgação oficial, em sítio eletrônico oficial do respectivo ente federativo ou em quadro de avisos de amplo acesso público. </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Será aceita a proposta do fornecedor:</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Que atender a todas as exigências de habilitação;</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Cujo produto ofertado tenha sido aprovado no teste de qualificação;</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Cuja especificação do produto ofertado seja compatível com a do edital da respectiva chamada pública;</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que tenha ofertado quantitativo não inferior a uma fração de entrega constante neste anexo do edital;</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que atenda às demais exigências do edital da chamada pública e de seus anexos.</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A apresentação de Projeto de Venda para a contratação pretendida implica concordância do fornecedor em fornecer os produtos pelo preço de referência constante neste anexo, independentemente do valor apresentado em sua proposta.</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A aceitabilidade será verificada por item, podendo o proponente ter item recusado e item aceito, ainda que em um mesmo Projeto de Venda.</w:t>
      </w:r>
    </w:p>
    <w:p>
      <w:pPr>
        <w:pStyle w:val="Nvel1SemNumerao"/>
        <w:ind w:left="0" w:hanging="0"/>
        <w:rPr>
          <w:color w:val="000000"/>
        </w:rPr>
      </w:pPr>
      <w:r>
        <w:rPr>
          <w:i w:val="false"/>
          <w:iCs w:val="false"/>
          <w:color w:val="000000"/>
        </w:rPr>
        <w:t>Forma de fornecimento</w:t>
      </w:r>
    </w:p>
    <w:p>
      <w:pPr>
        <w:pStyle w:val="Nvel02"/>
        <w:numPr>
          <w:ilvl w:val="1"/>
          <w:numId w:val="3"/>
        </w:numPr>
        <w:ind w:left="0" w:right="0" w:hanging="0"/>
        <w:rPr/>
      </w:pPr>
      <w:r>
        <w:rPr>
          <w:rStyle w:val="Normaltextrun"/>
          <w:i w:val="false"/>
          <w:iCs w:val="false"/>
          <w:color w:val="000000"/>
          <w:shd w:fill="FFFFFF" w:val="clear"/>
        </w:rPr>
        <w:t xml:space="preserve">O </w:t>
      </w:r>
      <w:r>
        <w:rPr>
          <w:rStyle w:val="Findhit"/>
          <w:i w:val="false"/>
          <w:iCs w:val="false"/>
          <w:color w:val="000000"/>
          <w:shd w:fill="FFFFFF" w:val="clear"/>
        </w:rPr>
        <w:t>fornecimento do objeto será parcelado.</w:t>
      </w:r>
    </w:p>
    <w:p>
      <w:pPr>
        <w:pStyle w:val="Nvel02"/>
        <w:numPr>
          <w:ilvl w:val="1"/>
          <w:numId w:val="3"/>
        </w:numPr>
        <w:ind w:left="0" w:right="0" w:hanging="0"/>
        <w:rPr/>
      </w:pPr>
      <w:r>
        <w:rPr>
          <w:rStyle w:val="Findhit"/>
          <w:i w:val="false"/>
          <w:iCs w:val="false"/>
          <w:color w:val="000000"/>
          <w:shd w:fill="FFFFFF" w:val="clear"/>
        </w:rPr>
        <w:t>A convocação do fornecedor pelo IF Baiano - Campus Governador Mangabeira poderá ser por telefone ou e-mail e será informado o endereço, a repartição, o prazo máximo para início do fornecimento, bem como a quantidade a ser adquirida, observada a fração mínima de entrega constante neste anexo.</w:t>
      </w:r>
    </w:p>
    <w:p>
      <w:pPr>
        <w:pStyle w:val="Nvel02"/>
        <w:numPr>
          <w:ilvl w:val="1"/>
          <w:numId w:val="3"/>
        </w:numPr>
        <w:ind w:left="0" w:right="0" w:hanging="0"/>
        <w:rPr/>
      </w:pPr>
      <w:r>
        <w:rPr>
          <w:rStyle w:val="Findhit"/>
          <w:i w:val="false"/>
          <w:iCs w:val="false"/>
          <w:color w:val="000000"/>
          <w:shd w:fill="FFFFFF" w:val="clear"/>
        </w:rPr>
        <w:t>Os gêneros alimentícios a serem entregues poderão ser substituídos quando ocorrer a necessidade, desde que os produtos substitutos constem nesta chamada pública e sejam correlatos nutricionalmente. Essa necessidade de substituição deverá ser atestada pelo responsável técnico, que poderá contar com o respaldo do CAE e com a declaração técnica da Assistência Técnica e Extensão Rural – ATER.</w:t>
      </w:r>
    </w:p>
    <w:p>
      <w:pPr>
        <w:pStyle w:val="Nvel02"/>
        <w:numPr>
          <w:ilvl w:val="1"/>
          <w:numId w:val="3"/>
        </w:numPr>
        <w:ind w:left="0" w:right="0" w:hanging="0"/>
        <w:rPr/>
      </w:pPr>
      <w:r>
        <w:rPr>
          <w:rStyle w:val="Findhit"/>
          <w:i w:val="false"/>
          <w:iCs w:val="false"/>
          <w:color w:val="000000"/>
          <w:shd w:fill="FFFFFF" w:val="clear"/>
        </w:rPr>
        <w:t>Os quantitativos por entrega (“Frações por Entrega”) são meras previsões, de acordo com o histórico de consumo do campus. Portanto, essas quantidades poderão ser alteradas, conforme necessidade, desde que não causem ônus, não previstos nesta chamada pública, aos fornecedores.</w:t>
      </w:r>
    </w:p>
    <w:p>
      <w:pPr>
        <w:pStyle w:val="Nvel02"/>
        <w:numPr>
          <w:ilvl w:val="1"/>
          <w:numId w:val="3"/>
        </w:numPr>
        <w:ind w:left="0" w:right="0" w:hanging="0"/>
        <w:rPr/>
      </w:pPr>
      <w:r>
        <w:rPr>
          <w:rStyle w:val="Findhit"/>
          <w:i w:val="false"/>
          <w:iCs w:val="false"/>
          <w:color w:val="000000"/>
          <w:shd w:fill="FFFFFF" w:val="clear"/>
        </w:rPr>
        <w:t>As embalagens dos produtos poderão ter outras características, desde que obedeçam à legislação específica vigente e com prévio acordo com o setor solicitante.</w:t>
      </w:r>
    </w:p>
    <w:p>
      <w:pPr>
        <w:pStyle w:val="Nvel02"/>
        <w:numPr>
          <w:ilvl w:val="1"/>
          <w:numId w:val="3"/>
        </w:numPr>
        <w:ind w:left="0" w:right="0" w:hanging="0"/>
        <w:rPr/>
      </w:pPr>
      <w:r>
        <w:rPr>
          <w:rStyle w:val="Findhit"/>
          <w:i w:val="false"/>
          <w:iCs w:val="false"/>
          <w:color w:val="000000"/>
          <w:shd w:fill="FFFFFF" w:val="clear"/>
        </w:rPr>
        <w:t>Todo fornecimento deverá vir acompanhado de um recibo de entrega contendo o peso/quantitativo de cada produto, conforme unidade de fornecimento, e o nome do solicitante, devendo uma via ser entregue ao servidor designado pela Administração para receber os produtos.</w:t>
      </w:r>
    </w:p>
    <w:p>
      <w:pPr>
        <w:pStyle w:val="Nvel02"/>
        <w:numPr>
          <w:ilvl w:val="1"/>
          <w:numId w:val="3"/>
        </w:numPr>
        <w:ind w:left="0" w:right="0" w:hanging="0"/>
        <w:rPr/>
      </w:pPr>
      <w:r>
        <w:rPr>
          <w:rStyle w:val="Findhit"/>
          <w:i w:val="false"/>
          <w:iCs w:val="false"/>
          <w:color w:val="000000"/>
          <w:shd w:fill="FFFFFF" w:val="clear"/>
        </w:rPr>
        <w:t>Os produtos deverão ser entregues, exclusivamente às expensas do contratado, as quais inclui despesas com frete, embalagens, encargos e quaisquer outras necessárias para o fornecimento do produto.</w:t>
      </w:r>
    </w:p>
    <w:p>
      <w:pPr>
        <w:pStyle w:val="Nvel02"/>
        <w:numPr>
          <w:ilvl w:val="1"/>
          <w:numId w:val="3"/>
        </w:numPr>
        <w:ind w:left="0" w:right="0" w:hanging="0"/>
        <w:rPr/>
      </w:pPr>
      <w:r>
        <w:rPr>
          <w:rStyle w:val="Findhit"/>
          <w:i w:val="false"/>
          <w:iCs w:val="false"/>
          <w:color w:val="000000"/>
          <w:shd w:fill="FFFFFF" w:val="clear"/>
        </w:rPr>
        <w:t>A convocação para início do fornecimento deverá ter antecedência mínima de 48 horas.</w:t>
      </w:r>
    </w:p>
    <w:p>
      <w:pPr>
        <w:pStyle w:val="Nvel02"/>
        <w:numPr>
          <w:ilvl w:val="1"/>
          <w:numId w:val="3"/>
        </w:numPr>
        <w:ind w:left="0" w:right="0" w:hanging="0"/>
        <w:rPr/>
      </w:pPr>
      <w:r>
        <w:rPr>
          <w:rStyle w:val="Findhit"/>
          <w:i w:val="false"/>
          <w:iCs w:val="false"/>
          <w:color w:val="000000"/>
          <w:shd w:fill="FFFFFF" w:val="clear"/>
        </w:rPr>
        <w:t>Os gêneros alimentícios deverão ser entregues de segunda a sexta-feira no horário das 08:00 as 16:00</w:t>
      </w:r>
    </w:p>
    <w:p>
      <w:pPr>
        <w:pStyle w:val="Nvel02"/>
        <w:numPr>
          <w:ilvl w:val="1"/>
          <w:numId w:val="3"/>
        </w:numPr>
        <w:ind w:left="0" w:right="0" w:hanging="0"/>
        <w:rPr/>
      </w:pPr>
      <w:r>
        <w:rPr>
          <w:rStyle w:val="Findhit"/>
          <w:i w:val="false"/>
          <w:iCs w:val="false"/>
          <w:color w:val="000000"/>
          <w:shd w:fill="FFFFFF" w:val="clear"/>
        </w:rPr>
        <w:t>Quando da entrega, os frutos e legumes deverão apresentarem-se:</w:t>
      </w:r>
    </w:p>
    <w:p>
      <w:pPr>
        <w:pStyle w:val="Nvel02"/>
        <w:numPr>
          <w:ilvl w:val="2"/>
          <w:numId w:val="3"/>
        </w:numPr>
        <w:ind w:left="0" w:right="0" w:hanging="0"/>
        <w:rPr/>
      </w:pPr>
      <w:r>
        <w:rPr>
          <w:rStyle w:val="Findhit"/>
          <w:i w:val="false"/>
          <w:iCs w:val="false"/>
          <w:color w:val="000000"/>
          <w:shd w:fill="FFFFFF" w:val="clear"/>
        </w:rPr>
        <w:t>Isentos de substâncias terrosas;</w:t>
      </w:r>
    </w:p>
    <w:p>
      <w:pPr>
        <w:pStyle w:val="Nvel02"/>
        <w:numPr>
          <w:ilvl w:val="2"/>
          <w:numId w:val="3"/>
        </w:numPr>
        <w:ind w:left="0" w:right="0" w:hanging="0"/>
        <w:rPr/>
      </w:pPr>
      <w:r>
        <w:rPr>
          <w:rStyle w:val="Findhit"/>
          <w:i w:val="false"/>
          <w:iCs w:val="false"/>
          <w:color w:val="000000"/>
          <w:shd w:fill="FFFFFF" w:val="clear"/>
        </w:rPr>
        <w:t>Sem sujidades ou corpos estranhos aderidos à superfície externa;</w:t>
      </w:r>
    </w:p>
    <w:p>
      <w:pPr>
        <w:pStyle w:val="Nvel02"/>
        <w:numPr>
          <w:ilvl w:val="2"/>
          <w:numId w:val="3"/>
        </w:numPr>
        <w:ind w:left="0" w:right="0" w:hanging="0"/>
        <w:rPr/>
      </w:pPr>
      <w:r>
        <w:rPr>
          <w:rStyle w:val="Findhit"/>
          <w:i w:val="false"/>
          <w:iCs w:val="false"/>
          <w:color w:val="000000"/>
          <w:shd w:fill="FFFFFF" w:val="clear"/>
        </w:rPr>
        <w:t>Sem parasitas, larvas ou outros animais, inclusive nas embalagens;</w:t>
      </w:r>
    </w:p>
    <w:p>
      <w:pPr>
        <w:pStyle w:val="Nvel02"/>
        <w:numPr>
          <w:ilvl w:val="2"/>
          <w:numId w:val="3"/>
        </w:numPr>
        <w:ind w:left="0" w:right="0" w:hanging="0"/>
        <w:rPr/>
      </w:pPr>
      <w:r>
        <w:rPr>
          <w:rStyle w:val="Findhit"/>
          <w:i w:val="false"/>
          <w:iCs w:val="false"/>
          <w:color w:val="000000"/>
          <w:shd w:fill="FFFFFF" w:val="clear"/>
        </w:rPr>
        <w:t>Sem umidade externa anormal;</w:t>
      </w:r>
    </w:p>
    <w:p>
      <w:pPr>
        <w:pStyle w:val="Nvel02"/>
        <w:numPr>
          <w:ilvl w:val="2"/>
          <w:numId w:val="3"/>
        </w:numPr>
        <w:ind w:left="0" w:right="0" w:hanging="0"/>
        <w:rPr/>
      </w:pPr>
      <w:r>
        <w:rPr>
          <w:rStyle w:val="Findhit"/>
          <w:i w:val="false"/>
          <w:iCs w:val="false"/>
          <w:color w:val="000000"/>
          <w:shd w:fill="FFFFFF" w:val="clear"/>
        </w:rPr>
        <w:t>Isentos de odor e sabor estranhos;</w:t>
      </w:r>
    </w:p>
    <w:p>
      <w:pPr>
        <w:pStyle w:val="Nvel02"/>
        <w:numPr>
          <w:ilvl w:val="2"/>
          <w:numId w:val="3"/>
        </w:numPr>
        <w:ind w:left="0" w:right="0" w:hanging="0"/>
        <w:rPr/>
      </w:pPr>
      <w:r>
        <w:rPr>
          <w:rStyle w:val="Findhit"/>
          <w:i w:val="false"/>
          <w:iCs w:val="false"/>
          <w:color w:val="000000"/>
          <w:shd w:fill="FFFFFF" w:val="clear"/>
        </w:rPr>
        <w:t>Isentos de enfermidades.</w:t>
      </w:r>
    </w:p>
    <w:p>
      <w:pPr>
        <w:pStyle w:val="Nvel02"/>
        <w:numPr>
          <w:ilvl w:val="1"/>
          <w:numId w:val="3"/>
        </w:numPr>
        <w:ind w:left="0" w:right="0" w:hanging="0"/>
        <w:rPr/>
      </w:pPr>
      <w:r>
        <w:rPr>
          <w:rStyle w:val="Findhit"/>
          <w:i w:val="false"/>
          <w:iCs w:val="false"/>
          <w:color w:val="000000"/>
          <w:shd w:fill="FFFFFF" w:val="clear"/>
        </w:rPr>
        <w:t>Todos os produtos deverão estar acondicionados em embalagens novas e adequadas ao produto, que não danifiquem e provoquem lesões que afetem a sua aparência e utilização.</w:t>
      </w:r>
    </w:p>
    <w:p>
      <w:pPr>
        <w:pStyle w:val="Nvel02"/>
        <w:numPr>
          <w:ilvl w:val="1"/>
          <w:numId w:val="3"/>
        </w:numPr>
        <w:ind w:left="0" w:right="0" w:hanging="0"/>
        <w:rPr/>
      </w:pPr>
      <w:r>
        <w:rPr>
          <w:rStyle w:val="Findhit"/>
          <w:i w:val="false"/>
          <w:iCs w:val="false"/>
          <w:color w:val="000000"/>
          <w:shd w:fill="FFFFFF" w:val="clear"/>
        </w:rPr>
        <w:t>Todos os produtos deverão conter em suas embalagens: identificação do produto e data de validade.</w:t>
      </w:r>
    </w:p>
    <w:p>
      <w:pPr>
        <w:pStyle w:val="Nvel02"/>
        <w:numPr>
          <w:ilvl w:val="1"/>
          <w:numId w:val="3"/>
        </w:numPr>
        <w:ind w:left="0" w:right="0" w:hanging="0"/>
        <w:rPr/>
      </w:pPr>
      <w:r>
        <w:rPr>
          <w:rStyle w:val="Findhit"/>
          <w:i w:val="false"/>
          <w:iCs w:val="false"/>
          <w:color w:val="000000"/>
          <w:shd w:fill="FFFFFF" w:val="clear"/>
        </w:rPr>
        <w:t>A pontualidade na entrega das mercadorias para o Campus está vinculada ao cumprimento do Cardápio Nutricional. A não pontualidade na entrega das mercadorias implicará em prejuízo à execução do cardápio e consequentes transtornos ao balanceamento nutricional, dando ensejo à rescisão contratual e demais penalidades cabíveis.</w:t>
      </w:r>
    </w:p>
    <w:p>
      <w:pPr>
        <w:pStyle w:val="Nvel1SemNumerao"/>
        <w:widowControl/>
        <w:numPr>
          <w:ilvl w:val="0"/>
          <w:numId w:val="0"/>
        </w:numPr>
        <w:suppressAutoHyphens w:val="true"/>
        <w:bidi w:val="0"/>
        <w:spacing w:lineRule="auto" w:line="276" w:before="120" w:after="120"/>
        <w:ind w:left="0" w:hanging="0"/>
        <w:jc w:val="both"/>
        <w:rPr>
          <w:color w:val="000000"/>
        </w:rPr>
      </w:pPr>
      <w:r>
        <w:rPr>
          <w:rFonts w:eastAsia="Arial" w:cs="Arial"/>
          <w:i w:val="false"/>
          <w:iCs w:val="false"/>
          <w:color w:val="000000"/>
          <w:kern w:val="0"/>
          <w:sz w:val="20"/>
          <w:szCs w:val="20"/>
          <w:lang w:val="pt-BR" w:eastAsia="pt-BR" w:bidi="ar-SA"/>
        </w:rPr>
        <w:t xml:space="preserve">FORMA E CRITÉRIOS DE HABILITAÇÃO DO FORNECEDOR </w:t>
      </w:r>
    </w:p>
    <w:p>
      <w:pPr>
        <w:pStyle w:val="Nvel1SemNumerao"/>
        <w:widowControl/>
        <w:numPr>
          <w:ilvl w:val="0"/>
          <w:numId w:val="0"/>
        </w:numPr>
        <w:bidi w:val="0"/>
        <w:spacing w:lineRule="auto" w:line="276" w:before="120" w:after="120"/>
        <w:ind w:left="0" w:hanging="0"/>
        <w:jc w:val="both"/>
        <w:rPr>
          <w:color w:val="000000"/>
        </w:rPr>
      </w:pPr>
      <w:r>
        <w:rPr>
          <w:rFonts w:eastAsia="Arial" w:cs="Arial"/>
          <w:i w:val="false"/>
          <w:iCs w:val="false"/>
          <w:color w:val="000000"/>
          <w:sz w:val="20"/>
          <w:szCs w:val="20"/>
          <w:lang w:eastAsia="pt-BR"/>
        </w:rPr>
        <w:t xml:space="preserve">Os Fornecedores da Agricultura Familiar poderão comercializar sua produção agrícola na forma de Fornecedores Individuais, Grupos Informais e Grupos Formais, de acordo com o Capítulo V da Resolução FNDE que dispõe sobre o PNAE. </w:t>
      </w:r>
    </w:p>
    <w:p>
      <w:pPr>
        <w:pStyle w:val="Nvel02"/>
        <w:numPr>
          <w:ilvl w:val="1"/>
          <w:numId w:val="3"/>
        </w:numPr>
        <w:ind w:left="0" w:right="0" w:hanging="0"/>
        <w:rPr>
          <w:color w:val="000000"/>
        </w:rPr>
      </w:pPr>
      <w:r>
        <w:rPr>
          <w:i w:val="false"/>
          <w:iCs w:val="false"/>
          <w:color w:val="000000"/>
        </w:rPr>
        <w:t>Para fins de habilitação, deverá o interessado comprovar os seguintes requisitos:</w:t>
      </w:r>
    </w:p>
    <w:p>
      <w:pPr>
        <w:pStyle w:val="Nvel02"/>
        <w:numPr>
          <w:ilvl w:val="2"/>
          <w:numId w:val="3"/>
        </w:numPr>
        <w:ind w:left="0" w:right="0" w:hanging="0"/>
        <w:rPr>
          <w:color w:val="000000"/>
        </w:rPr>
      </w:pPr>
      <w:r>
        <w:rPr>
          <w:i w:val="false"/>
          <w:iCs w:val="false"/>
          <w:color w:val="000000"/>
        </w:rPr>
        <w:t xml:space="preserve">Os Fornecedores Individuais ou os Grupos Formais e Informais deverão apresentar em envelope os documentos abaixo relacionados, sob pena de inabilitação: </w:t>
      </w:r>
    </w:p>
    <w:p>
      <w:pPr>
        <w:pStyle w:val="Nvel02"/>
        <w:numPr>
          <w:ilvl w:val="0"/>
          <w:numId w:val="0"/>
        </w:numPr>
        <w:ind w:left="0" w:right="0" w:hanging="0"/>
        <w:rPr>
          <w:color w:val="000000"/>
        </w:rPr>
      </w:pPr>
      <w:r>
        <w:rPr>
          <w:i w:val="false"/>
          <w:iCs w:val="false"/>
          <w:color w:val="000000"/>
        </w:rPr>
        <w:t xml:space="preserve">I - </w:t>
      </w:r>
      <w:r>
        <w:rPr>
          <w:color w:val="000000"/>
        </w:rPr>
        <w:t xml:space="preserve">HABILITAÇÃO DO FORNECEDOR INDIVIDUAL (não organizado em grupo). </w:t>
      </w:r>
    </w:p>
    <w:p>
      <w:pPr>
        <w:pStyle w:val="Nvel02"/>
        <w:numPr>
          <w:ilvl w:val="2"/>
          <w:numId w:val="7"/>
        </w:numPr>
        <w:ind w:left="680" w:right="0" w:hanging="227"/>
        <w:rPr>
          <w:color w:val="000000"/>
        </w:rPr>
      </w:pPr>
      <w:r>
        <w:rPr>
          <w:i w:val="false"/>
          <w:iCs w:val="false"/>
          <w:color w:val="000000"/>
        </w:rPr>
        <w:t>Prova de inscrição no Cadastro de Pessoa Física - CPF;</w:t>
      </w:r>
    </w:p>
    <w:p>
      <w:pPr>
        <w:pStyle w:val="Nvel02"/>
        <w:numPr>
          <w:ilvl w:val="2"/>
          <w:numId w:val="7"/>
        </w:numPr>
        <w:ind w:left="680" w:right="0" w:hanging="227"/>
        <w:rPr>
          <w:color w:val="000000"/>
        </w:rPr>
      </w:pPr>
      <w:r>
        <w:rPr>
          <w:i w:val="false"/>
          <w:iCs w:val="false"/>
          <w:color w:val="000000"/>
        </w:rPr>
        <w:t xml:space="preserve">Extrato da CAF ou DAP Física do agricultor familiar participante, emitido nos últimos sessenta dias; </w:t>
      </w:r>
    </w:p>
    <w:p>
      <w:pPr>
        <w:pStyle w:val="Nvel02"/>
        <w:numPr>
          <w:ilvl w:val="2"/>
          <w:numId w:val="7"/>
        </w:numPr>
        <w:ind w:left="680" w:right="0" w:hanging="227"/>
        <w:rPr>
          <w:color w:val="000000"/>
        </w:rPr>
      </w:pPr>
      <w:r>
        <w:rPr>
          <w:i w:val="false"/>
          <w:iCs w:val="false"/>
          <w:color w:val="000000"/>
        </w:rPr>
        <w:t>Projeto de Venda de Gêneros Alimentícios da Agricultura Familiar e/ou Empreendedor Familiar Rural para Alimentação Escolar com assinatura do agricultor participante;</w:t>
      </w:r>
    </w:p>
    <w:p>
      <w:pPr>
        <w:pStyle w:val="Nvel02"/>
        <w:numPr>
          <w:ilvl w:val="2"/>
          <w:numId w:val="7"/>
        </w:numPr>
        <w:ind w:left="680" w:right="0" w:hanging="227"/>
        <w:rPr>
          <w:color w:val="000000"/>
        </w:rPr>
      </w:pPr>
      <w:r>
        <w:rPr>
          <w:i w:val="false"/>
          <w:iCs w:val="false"/>
          <w:color w:val="000000"/>
        </w:rPr>
        <w:t>Declaração de que os gêneros alimentícios a serem entregues são oriundos de produção própria, relacionada na prop</w:t>
      </w:r>
      <w:r>
        <w:rPr>
          <w:i w:val="false"/>
          <w:iCs w:val="false"/>
          <w:color w:val="000000"/>
          <w:shd w:fill="auto" w:val="clear"/>
        </w:rPr>
        <w:t xml:space="preserve">osta de venda </w:t>
      </w:r>
      <w:r>
        <w:rPr>
          <w:rFonts w:cs="Times New Roman" w:ascii="Times New Roman" w:hAnsi="Times New Roman"/>
          <w:i w:val="false"/>
          <w:iCs w:val="false"/>
          <w:color w:val="000000"/>
          <w:sz w:val="22"/>
          <w:szCs w:val="22"/>
          <w:shd w:fill="auto" w:val="clear"/>
        </w:rPr>
        <w:t>(Atestado emitido pelo produtor, conforme modelo de Declaração de Origem do (s) Produto (s), Anexo II neste edital);</w:t>
      </w:r>
    </w:p>
    <w:p>
      <w:pPr>
        <w:pStyle w:val="Nvel02"/>
        <w:numPr>
          <w:ilvl w:val="2"/>
          <w:numId w:val="7"/>
        </w:numPr>
        <w:ind w:left="680" w:right="0" w:hanging="227"/>
        <w:rPr>
          <w:color w:val="000000"/>
        </w:rPr>
      </w:pPr>
      <w:r>
        <w:rPr>
          <w:i w:val="false"/>
          <w:iCs w:val="false"/>
          <w:color w:val="000000"/>
          <w:shd w:fill="auto" w:val="clear"/>
        </w:rPr>
        <w:t>Prova de atendimento de requisitos higiênico-sanitários previstos em normativas específicas.</w:t>
      </w:r>
    </w:p>
    <w:p>
      <w:pPr>
        <w:pStyle w:val="Nvel02"/>
        <w:numPr>
          <w:ilvl w:val="0"/>
          <w:numId w:val="0"/>
        </w:numPr>
        <w:ind w:left="0" w:right="0" w:hanging="0"/>
        <w:rPr>
          <w:color w:val="000000"/>
        </w:rPr>
      </w:pPr>
      <w:r>
        <w:rPr>
          <w:i w:val="false"/>
          <w:iCs w:val="false"/>
          <w:color w:val="000000"/>
          <w:shd w:fill="auto" w:val="clear"/>
        </w:rPr>
        <w:t xml:space="preserve">II - </w:t>
      </w:r>
      <w:r>
        <w:rPr>
          <w:color w:val="000000"/>
          <w:shd w:fill="auto" w:val="clear"/>
        </w:rPr>
        <w:t xml:space="preserve">HABILITAÇÃO DO GRUPO INFORMAL. </w:t>
      </w:r>
    </w:p>
    <w:p>
      <w:pPr>
        <w:pStyle w:val="Nvel02"/>
        <w:numPr>
          <w:ilvl w:val="2"/>
          <w:numId w:val="7"/>
        </w:numPr>
        <w:ind w:left="680" w:right="0" w:hanging="227"/>
        <w:rPr>
          <w:color w:val="000000"/>
        </w:rPr>
      </w:pPr>
      <w:r>
        <w:rPr>
          <w:i w:val="false"/>
          <w:iCs w:val="false"/>
          <w:color w:val="000000"/>
          <w:shd w:fill="auto" w:val="clear"/>
        </w:rPr>
        <w:t>Prova de inscrição no Cadastro de Pessoa Físic</w:t>
      </w:r>
      <w:r>
        <w:rPr>
          <w:rFonts w:eastAsia="Arial" w:cs="Arial"/>
          <w:i w:val="false"/>
          <w:iCs w:val="false"/>
          <w:color w:val="000000"/>
          <w:sz w:val="20"/>
          <w:szCs w:val="20"/>
          <w:shd w:fill="auto" w:val="clear"/>
          <w:lang w:eastAsia="pt-BR"/>
        </w:rPr>
        <w:t xml:space="preserve">a (CPF) de cada agricultor familiar participante; </w:t>
      </w:r>
    </w:p>
    <w:p>
      <w:pPr>
        <w:pStyle w:val="Nvel02"/>
        <w:numPr>
          <w:ilvl w:val="1"/>
          <w:numId w:val="7"/>
        </w:numPr>
        <w:ind w:left="454" w:right="0" w:hanging="227"/>
        <w:rPr>
          <w:color w:val="000000"/>
        </w:rPr>
      </w:pPr>
      <w:r>
        <w:rPr>
          <w:i w:val="false"/>
          <w:iCs w:val="false"/>
          <w:color w:val="000000"/>
          <w:shd w:fill="auto" w:val="clear"/>
        </w:rPr>
        <w:t>Extrato da CAF ou DAP Física de cada agricultor familiar participante, emitido nos últimos 60 (sessenta) dias;</w:t>
      </w:r>
    </w:p>
    <w:p>
      <w:pPr>
        <w:pStyle w:val="Nvel02"/>
        <w:numPr>
          <w:ilvl w:val="1"/>
          <w:numId w:val="7"/>
        </w:numPr>
        <w:ind w:left="454" w:right="0" w:hanging="227"/>
        <w:rPr>
          <w:color w:val="000000"/>
        </w:rPr>
      </w:pPr>
      <w:r>
        <w:rPr>
          <w:i w:val="false"/>
          <w:iCs w:val="false"/>
          <w:color w:val="000000"/>
          <w:shd w:fill="auto" w:val="clear"/>
        </w:rPr>
        <w:t xml:space="preserve">Projeto de Venda de Gêneros Alimentícios da Agricultura Familiar e/ou Empreendedor Familiar Rural para Alimentação Escolar com assinatura de todos os agricultores participantes; </w:t>
      </w:r>
    </w:p>
    <w:p>
      <w:pPr>
        <w:pStyle w:val="Nvel02"/>
        <w:numPr>
          <w:ilvl w:val="2"/>
          <w:numId w:val="7"/>
        </w:numPr>
        <w:ind w:left="680" w:right="0" w:hanging="227"/>
        <w:rPr>
          <w:color w:val="000000"/>
        </w:rPr>
      </w:pPr>
      <w:r>
        <w:rPr>
          <w:rFonts w:cs="Times New Roman" w:ascii="Times New Roman" w:hAnsi="Times New Roman"/>
          <w:i w:val="false"/>
          <w:iCs w:val="false"/>
          <w:color w:val="000000"/>
          <w:sz w:val="22"/>
          <w:szCs w:val="22"/>
          <w:shd w:fill="auto" w:val="clear"/>
        </w:rPr>
        <w:t>Declaração de que os gêneros alimentícios a serem entregues são produzidos pelos agricultores familiares relacionados no projeto de venda. (Atestado emitido pelo produtor, conforme modelo de Declaração de Origem do (s) Produto (s), Anexo II neste edital);</w:t>
      </w:r>
    </w:p>
    <w:p>
      <w:pPr>
        <w:pStyle w:val="Nvel02"/>
        <w:numPr>
          <w:ilvl w:val="1"/>
          <w:numId w:val="7"/>
        </w:numPr>
        <w:ind w:left="454" w:right="0" w:hanging="227"/>
        <w:rPr>
          <w:color w:val="000000"/>
        </w:rPr>
      </w:pPr>
      <w:r>
        <w:rPr>
          <w:i w:val="false"/>
          <w:iCs w:val="false"/>
          <w:color w:val="000000"/>
          <w:shd w:fill="auto" w:val="clear"/>
        </w:rPr>
        <w:t xml:space="preserve">Declaração do seu representante legal de responsabilidade pelo </w:t>
      </w:r>
      <w:r>
        <w:rPr>
          <w:i w:val="false"/>
          <w:iCs w:val="false"/>
          <w:color w:val="000000"/>
        </w:rPr>
        <w:t>controle do atendimento do limite individual de venda de seus cooperados/associados (Anexo IV);</w:t>
      </w:r>
    </w:p>
    <w:p>
      <w:pPr>
        <w:pStyle w:val="Nvel02"/>
        <w:numPr>
          <w:ilvl w:val="1"/>
          <w:numId w:val="7"/>
        </w:numPr>
        <w:ind w:left="454" w:right="0" w:hanging="227"/>
        <w:rPr>
          <w:color w:val="000000"/>
        </w:rPr>
      </w:pPr>
      <w:r>
        <w:rPr>
          <w:i w:val="false"/>
          <w:iCs w:val="false"/>
          <w:color w:val="000000"/>
        </w:rPr>
        <w:t>Prova de atendimento de requisitos higiênico-sanitários previstos em normativas específicas.</w:t>
      </w:r>
    </w:p>
    <w:p>
      <w:pPr>
        <w:pStyle w:val="Nvel02"/>
        <w:numPr>
          <w:ilvl w:val="0"/>
          <w:numId w:val="0"/>
        </w:numPr>
        <w:ind w:left="-57" w:right="0" w:hanging="0"/>
        <w:rPr>
          <w:color w:val="000000"/>
        </w:rPr>
      </w:pPr>
      <w:r>
        <w:rPr>
          <w:i w:val="false"/>
          <w:iCs w:val="false"/>
          <w:color w:val="000000"/>
        </w:rPr>
        <w:t xml:space="preserve">III. - </w:t>
      </w:r>
      <w:r>
        <w:rPr>
          <w:color w:val="000000"/>
        </w:rPr>
        <w:t xml:space="preserve">HABILITAÇÃO DO GRUPO FORMAL </w:t>
      </w:r>
    </w:p>
    <w:p>
      <w:pPr>
        <w:pStyle w:val="Nvel02"/>
        <w:numPr>
          <w:ilvl w:val="1"/>
          <w:numId w:val="7"/>
        </w:numPr>
        <w:ind w:left="454" w:right="0" w:hanging="227"/>
        <w:rPr>
          <w:color w:val="000000"/>
        </w:rPr>
      </w:pPr>
      <w:r>
        <w:rPr>
          <w:rFonts w:eastAsia="Arial" w:cs="Arial"/>
          <w:i w:val="false"/>
          <w:iCs w:val="false"/>
          <w:color w:val="000000"/>
          <w:sz w:val="20"/>
          <w:szCs w:val="20"/>
          <w:lang w:eastAsia="pt-BR"/>
        </w:rPr>
        <w:t>Prova de inscrição no Cadastro Nacional de Pessoa Jurídica – CNPJ;</w:t>
      </w:r>
    </w:p>
    <w:p>
      <w:pPr>
        <w:pStyle w:val="Nvel02"/>
        <w:numPr>
          <w:ilvl w:val="1"/>
          <w:numId w:val="7"/>
        </w:numPr>
        <w:ind w:left="454" w:right="0" w:hanging="227"/>
        <w:rPr>
          <w:color w:val="000000"/>
        </w:rPr>
      </w:pPr>
      <w:r>
        <w:rPr>
          <w:i w:val="false"/>
          <w:iCs w:val="false"/>
          <w:color w:val="000000"/>
        </w:rPr>
        <w:t xml:space="preserve">Extrato da CAF ou DAP Jurídica para associações e cooperativas, emitido nos últimos sessenta dias; </w:t>
      </w:r>
    </w:p>
    <w:p>
      <w:pPr>
        <w:pStyle w:val="Nvel02"/>
        <w:numPr>
          <w:ilvl w:val="2"/>
          <w:numId w:val="7"/>
        </w:numPr>
        <w:ind w:left="680" w:right="0" w:hanging="227"/>
        <w:rPr>
          <w:color w:val="000000"/>
        </w:rPr>
      </w:pPr>
      <w:r>
        <w:rPr>
          <w:i w:val="false"/>
          <w:iCs w:val="false"/>
          <w:color w:val="000000"/>
        </w:rPr>
        <w:t xml:space="preserve">Projeto de Venda de Gêneros Alimentícios da Agricultura Familiar para Alimentação Escolar, assinado pelo seu representante legal;  </w:t>
      </w:r>
    </w:p>
    <w:p>
      <w:pPr>
        <w:pStyle w:val="Nvel02"/>
        <w:numPr>
          <w:ilvl w:val="2"/>
          <w:numId w:val="7"/>
        </w:numPr>
        <w:ind w:left="680" w:right="0" w:hanging="227"/>
        <w:rPr>
          <w:color w:val="000000"/>
        </w:rPr>
      </w:pPr>
      <w:r>
        <w:rPr>
          <w:i w:val="false"/>
          <w:iCs w:val="false"/>
          <w:color w:val="000000"/>
        </w:rPr>
        <w:t xml:space="preserve">Cópias do estatuto e ata de posse da atual diretoria da entidade registrada no órgão competente; </w:t>
      </w:r>
    </w:p>
    <w:p>
      <w:pPr>
        <w:pStyle w:val="Nvel02"/>
        <w:numPr>
          <w:ilvl w:val="2"/>
          <w:numId w:val="7"/>
        </w:numPr>
        <w:ind w:left="680" w:right="0" w:hanging="227"/>
        <w:rPr>
          <w:color w:val="000000"/>
        </w:rPr>
      </w:pPr>
      <w:r>
        <w:rPr>
          <w:i w:val="false"/>
          <w:iCs w:val="false"/>
          <w:color w:val="000000"/>
        </w:rPr>
        <w:t>Prova de atendimento de requisitos previstos em lei específica.</w:t>
      </w:r>
    </w:p>
    <w:p>
      <w:pPr>
        <w:pStyle w:val="Nvel02"/>
        <w:numPr>
          <w:ilvl w:val="2"/>
          <w:numId w:val="7"/>
        </w:numPr>
        <w:ind w:left="680" w:right="0" w:hanging="227"/>
        <w:rPr>
          <w:color w:val="000000"/>
        </w:rPr>
      </w:pPr>
      <w:r>
        <w:rPr>
          <w:rFonts w:eastAsia="Arial" w:cs="Arial"/>
          <w:i w:val="false"/>
          <w:iCs w:val="false"/>
          <w:color w:val="000000"/>
          <w:kern w:val="0"/>
          <w:sz w:val="20"/>
          <w:szCs w:val="20"/>
          <w:lang w:val="pt-BR" w:eastAsia="pt-BR" w:bidi="ar-SA"/>
        </w:rPr>
        <w:t>Declaração de que os gêneros alimentícios a serem entregues são produzidos pelos associados/cooperados; (Atest</w:t>
      </w:r>
      <w:r>
        <w:rPr>
          <w:rFonts w:cs="Times New Roman" w:ascii="Times New Roman" w:hAnsi="Times New Roman"/>
          <w:i w:val="false"/>
          <w:iCs w:val="false"/>
          <w:color w:val="000000"/>
          <w:sz w:val="22"/>
          <w:szCs w:val="22"/>
          <w:shd w:fill="auto" w:val="clear"/>
        </w:rPr>
        <w:t>ado emitido pelo produtor, conforme modelo de Declaração de Origem do (s) Produto (s), Anexo III neste edital);</w:t>
      </w:r>
    </w:p>
    <w:p>
      <w:pPr>
        <w:pStyle w:val="Nvel02"/>
        <w:numPr>
          <w:ilvl w:val="2"/>
          <w:numId w:val="7"/>
        </w:numPr>
        <w:ind w:left="680" w:right="0" w:hanging="227"/>
        <w:rPr>
          <w:color w:val="000000"/>
        </w:rPr>
      </w:pPr>
      <w:r>
        <w:rPr>
          <w:i w:val="false"/>
          <w:iCs w:val="false"/>
          <w:color w:val="000000"/>
          <w:shd w:fill="auto" w:val="clear"/>
        </w:rPr>
        <w:t>Prova de regularidade com a Fazenda Federal, relativa à Seguridade Social e ao Fundo de Garantia por Tempo de Serviço – FGTS</w:t>
      </w:r>
      <w:r>
        <w:rPr>
          <w:i w:val="false"/>
          <w:iCs w:val="false"/>
          <w:color w:val="000000"/>
        </w:rPr>
        <w:t>;</w:t>
      </w:r>
    </w:p>
    <w:p>
      <w:pPr>
        <w:pStyle w:val="Nvel02"/>
        <w:numPr>
          <w:ilvl w:val="2"/>
          <w:numId w:val="7"/>
        </w:numPr>
        <w:ind w:left="680" w:right="0" w:hanging="227"/>
        <w:rPr>
          <w:color w:val="000000"/>
        </w:rPr>
      </w:pPr>
      <w:r>
        <w:rPr>
          <w:i w:val="false"/>
          <w:iCs w:val="false"/>
          <w:color w:val="000000"/>
        </w:rPr>
        <w:t>Declaração do seu representante legal de responsabilidade pelo controle do atendimento do limite individual de venda de seus cooperados/associados (Anexo IV);</w:t>
      </w:r>
    </w:p>
    <w:p>
      <w:pPr>
        <w:pStyle w:val="Nvel1SemNumerao"/>
        <w:ind w:left="0" w:hanging="0"/>
        <w:rPr>
          <w:color w:val="000000"/>
        </w:rPr>
      </w:pPr>
      <w:r>
        <w:rPr>
          <w:i w:val="false"/>
          <w:iCs w:val="false"/>
          <w:color w:val="000000"/>
        </w:rPr>
        <w:t>Disposições gerais sobre habilitação</w:t>
      </w:r>
    </w:p>
    <w:p>
      <w:pPr>
        <w:pStyle w:val="Nvel02"/>
        <w:numPr>
          <w:ilvl w:val="1"/>
          <w:numId w:val="3"/>
        </w:numPr>
        <w:ind w:left="0" w:right="0" w:hanging="0"/>
        <w:rPr>
          <w:color w:val="000000"/>
        </w:rPr>
      </w:pPr>
      <w:r>
        <w:rPr>
          <w:i w:val="false"/>
          <w:iCs w:val="false"/>
          <w:color w:val="000000"/>
        </w:rPr>
        <w:t>Para os produtos orgânicos, será exigida a respectiva certificação orgânica, a qual deverá constar no envelope, juntamente aos os demais documentos de habilitação.</w:t>
      </w:r>
    </w:p>
    <w:p>
      <w:pPr>
        <w:pStyle w:val="Nvel02"/>
        <w:numPr>
          <w:ilvl w:val="1"/>
          <w:numId w:val="3"/>
        </w:numPr>
        <w:ind w:left="0" w:right="0" w:hanging="0"/>
        <w:rPr>
          <w:color w:val="000000"/>
        </w:rPr>
      </w:pPr>
      <w:r>
        <w:rPr>
          <w:i w:val="false"/>
          <w:iCs w:val="false"/>
          <w:color w:val="000000"/>
        </w:rPr>
        <w:t>Não serão aceitos documentos de habilitação com indicação de CNPJ/CPF diferentes, salvo aqueles legalmente permitidos.</w:t>
      </w:r>
    </w:p>
    <w:p>
      <w:pPr>
        <w:pStyle w:val="Nvel02"/>
        <w:numPr>
          <w:ilvl w:val="1"/>
          <w:numId w:val="3"/>
        </w:numPr>
        <w:ind w:left="0" w:right="0" w:hanging="0"/>
        <w:rPr>
          <w:color w:val="000000"/>
        </w:rPr>
      </w:pPr>
      <w:r>
        <w:rPr>
          <w:i w:val="false"/>
          <w:iCs w:val="false"/>
          <w:color w:val="000000"/>
        </w:rPr>
        <w:t>Cada documento deverá ser apresentado em uma via, podendo ser o original, cópia autenticada por cartório competente ou por membro da Comissão, no momento da abertura dos envelopes, mediante apresentação do original.</w:t>
      </w:r>
    </w:p>
    <w:p>
      <w:pPr>
        <w:pStyle w:val="Nvel02"/>
        <w:numPr>
          <w:ilvl w:val="1"/>
          <w:numId w:val="3"/>
        </w:numPr>
        <w:ind w:left="0" w:right="0" w:hanging="0"/>
        <w:rPr>
          <w:color w:val="000000"/>
        </w:rPr>
      </w:pPr>
      <w:r>
        <w:rPr>
          <w:i w:val="false"/>
          <w:iCs w:val="false"/>
          <w:color w:val="000000"/>
        </w:rPr>
        <w:t>Toda a documentação deverá estar vigente, sem emendas, rasuras ou ressalvas.</w:t>
      </w:r>
    </w:p>
    <w:p>
      <w:pPr>
        <w:pStyle w:val="Nvel02"/>
        <w:numPr>
          <w:ilvl w:val="1"/>
          <w:numId w:val="3"/>
        </w:numPr>
        <w:ind w:left="0" w:right="0" w:hanging="0"/>
        <w:rPr>
          <w:color w:val="000000"/>
        </w:rPr>
      </w:pPr>
      <w:r>
        <w:rPr>
          <w:i w:val="false"/>
          <w:iCs w:val="false"/>
          <w:color w:val="000000"/>
        </w:rPr>
        <w:t>Na ausência ou irregularidade de quaisquer dos documentos de habilitação, a Comissão, a seu critério, poderá conceder prazo para regularização, observado o tratamento isonômico a todos os proponentes.</w:t>
      </w:r>
    </w:p>
    <w:p>
      <w:pPr>
        <w:pStyle w:val="Nvel02"/>
        <w:numPr>
          <w:ilvl w:val="1"/>
          <w:numId w:val="3"/>
        </w:numPr>
        <w:ind w:left="0" w:right="0" w:hanging="0"/>
        <w:rPr>
          <w:color w:val="000000"/>
        </w:rPr>
      </w:pPr>
      <w:r>
        <w:rPr>
          <w:i w:val="false"/>
          <w:iCs w:val="false"/>
          <w:color w:val="000000"/>
        </w:rPr>
        <w:t>A administração consultará o SICAF dos proponentes e caso haja e esteja atualizado, este dispensará a exigência dos documentos contidos no referido cadastro.</w:t>
      </w:r>
    </w:p>
    <w:p>
      <w:pPr>
        <w:pStyle w:val="Nivel01"/>
        <w:numPr>
          <w:ilvl w:val="0"/>
          <w:numId w:val="3"/>
        </w:numPr>
        <w:ind w:left="357" w:hanging="357"/>
        <w:rPr>
          <w:color w:val="000000"/>
        </w:rPr>
      </w:pPr>
      <w:commentRangeStart w:id="24"/>
      <w:r>
        <w:rPr>
          <w:i w:val="false"/>
          <w:iCs w:val="false"/>
          <w:color w:val="000000"/>
        </w:rPr>
        <w:t xml:space="preserve">ESTIMATIVAS DO VALOR DA </w:t>
      </w:r>
      <w:commentRangeStart w:id="25"/>
      <w:r>
        <w:rPr>
          <w:i w:val="false"/>
          <w:iCs w:val="false"/>
          <w:color w:val="000000"/>
        </w:rPr>
        <w:t>CONTRATAÇÃO</w:t>
      </w:r>
      <w:r>
        <w:rPr>
          <w:i w:val="false"/>
          <w:iCs w:val="false"/>
          <w:color w:val="000000"/>
        </w:rPr>
      </w:r>
      <w:commentRangeEnd w:id="24"/>
      <w:r>
        <w:commentReference w:id="24"/>
      </w:r>
      <w:commentRangeEnd w:id="25"/>
      <w:r>
        <w:commentReference w:id="25"/>
      </w:r>
      <w:r>
        <w:rPr>
          <w:i w:val="false"/>
          <w:iCs w:val="false"/>
          <w:color w:val="000000"/>
        </w:rPr>
      </w:r>
    </w:p>
    <w:p>
      <w:pPr>
        <w:pStyle w:val="Nvel2Opcional1"/>
        <w:numPr>
          <w:ilvl w:val="1"/>
          <w:numId w:val="3"/>
        </w:numPr>
        <w:ind w:left="1709" w:right="0" w:hanging="432"/>
        <w:rPr>
          <w:color w:val="000000"/>
        </w:rPr>
      </w:pPr>
      <w:r>
        <w:rPr>
          <w:i w:val="false"/>
          <w:iCs w:val="false"/>
          <w:color w:val="000000"/>
        </w:rPr>
        <w:t>O custo estimado total da contratação, que corresponde ao valor máximo aceitável, é de R$ 99.001,28 (Noventa e Nove Mil, Um Real e Vinte e Oito Centavos), conforme custos unitários apostos na tabela acima.</w:t>
      </w:r>
      <w:commentRangeStart w:id="26"/>
      <w:r>
        <w:rPr>
          <w:i w:val="false"/>
          <w:iCs w:val="false"/>
          <w:color w:val="000000"/>
        </w:rPr>
        <w:t xml:space="preserve"> </w:t>
      </w:r>
      <w:commentRangeEnd w:id="26"/>
      <w:r>
        <w:commentReference w:id="26"/>
      </w:r>
      <w:r>
        <w:rPr>
          <w:i w:val="false"/>
          <w:iCs w:val="false"/>
          <w:color w:val="000000"/>
        </w:rPr>
      </w:r>
    </w:p>
    <w:p>
      <w:pPr>
        <w:pStyle w:val="Nvel2Opcional1"/>
        <w:numPr>
          <w:ilvl w:val="1"/>
          <w:numId w:val="3"/>
        </w:numPr>
        <w:ind w:left="1709" w:right="0" w:hanging="432"/>
        <w:rPr>
          <w:color w:val="000000"/>
        </w:rPr>
      </w:pPr>
      <w:commentRangeStart w:id="27"/>
      <w:r>
        <w:rPr>
          <w:i w:val="false"/>
          <w:iCs w:val="false"/>
          <w:color w:val="000000"/>
        </w:rPr>
        <w:t>A estimativa de custo levou em consideração o risco envolvido na contratação e sua alocação entre Contratante e Contratado, conforme especificado na matriz de risco constante do Contrato.</w:t>
      </w:r>
      <w:commentRangeEnd w:id="27"/>
      <w:r>
        <w:commentReference w:id="27"/>
      </w:r>
      <w:r>
        <w:rPr>
          <w:i w:val="false"/>
          <w:iCs w:val="false"/>
          <w:color w:val="000000"/>
        </w:rPr>
      </w:r>
    </w:p>
    <w:p>
      <w:pPr>
        <w:pStyle w:val="Nivel01"/>
        <w:numPr>
          <w:ilvl w:val="0"/>
          <w:numId w:val="3"/>
        </w:numPr>
        <w:ind w:left="357" w:hanging="357"/>
        <w:rPr>
          <w:color w:val="000000"/>
        </w:rPr>
      </w:pPr>
      <w:r>
        <w:rPr>
          <w:i w:val="false"/>
          <w:iCs w:val="false"/>
          <w:color w:val="000000"/>
        </w:rPr>
        <w:t>ADEQUAÇÃO ORÇAMENTÁRIA</w:t>
      </w:r>
    </w:p>
    <w:p>
      <w:pPr>
        <w:pStyle w:val="Nvel2Opcional1"/>
        <w:numPr>
          <w:ilvl w:val="1"/>
          <w:numId w:val="3"/>
        </w:numPr>
        <w:ind w:left="1709" w:right="0" w:hanging="432"/>
        <w:rPr>
          <w:color w:val="000000"/>
        </w:rPr>
      </w:pPr>
      <w:r>
        <w:rPr>
          <w:i w:val="false"/>
          <w:iCs w:val="false"/>
          <w:color w:val="000000"/>
        </w:rPr>
        <w:t>As despesas decorrentes da presente contratação correrão à conta de recursos específicos consignados no Orçamento Geral da União.</w:t>
      </w:r>
    </w:p>
    <w:p>
      <w:pPr>
        <w:pStyle w:val="Nvel2Opcional1"/>
        <w:numPr>
          <w:ilvl w:val="1"/>
          <w:numId w:val="3"/>
        </w:numPr>
        <w:ind w:left="1709" w:right="0" w:hanging="432"/>
        <w:rPr>
          <w:color w:val="000000"/>
        </w:rPr>
      </w:pPr>
      <w:r>
        <w:rPr>
          <w:i w:val="false"/>
          <w:iCs w:val="false"/>
          <w:color w:val="000000"/>
        </w:rPr>
        <w:t>A contratação será atendida pela seguinte dotação:</w:t>
      </w:r>
    </w:p>
    <w:p>
      <w:pPr>
        <w:pStyle w:val="ListParagraph"/>
        <w:numPr>
          <w:ilvl w:val="0"/>
          <w:numId w:val="6"/>
        </w:numPr>
        <w:spacing w:before="120" w:after="120"/>
        <w:ind w:left="284" w:hanging="9"/>
        <w:contextualSpacing/>
        <w:jc w:val="both"/>
        <w:rPr>
          <w:color w:val="000000"/>
        </w:rPr>
      </w:pPr>
      <w:r>
        <w:rPr>
          <w:rFonts w:ascii="Arial" w:hAnsi="Arial"/>
          <w:i w:val="false"/>
          <w:iCs w:val="false"/>
          <w:color w:val="000000"/>
          <w:sz w:val="20"/>
        </w:rPr>
        <w:t>Gestão/</w:t>
      </w:r>
      <w:r>
        <w:rPr>
          <w:rFonts w:eastAsia="Arial" w:cs="Arial" w:ascii="Arial" w:hAnsi="Arial"/>
          <w:i w:val="false"/>
          <w:iCs w:val="false"/>
          <w:color w:val="000000"/>
          <w:sz w:val="20"/>
          <w:szCs w:val="20"/>
        </w:rPr>
        <w:t>u</w:t>
      </w:r>
      <w:r>
        <w:rPr>
          <w:rFonts w:ascii="Arial" w:hAnsi="Arial"/>
          <w:i w:val="false"/>
          <w:iCs w:val="false"/>
          <w:color w:val="000000"/>
          <w:sz w:val="20"/>
        </w:rPr>
        <w:t>nidade: 26404</w:t>
      </w:r>
    </w:p>
    <w:p>
      <w:pPr>
        <w:pStyle w:val="ListParagraph"/>
        <w:numPr>
          <w:ilvl w:val="0"/>
          <w:numId w:val="6"/>
        </w:numPr>
        <w:spacing w:before="120" w:after="120"/>
        <w:ind w:left="284" w:hanging="0"/>
        <w:contextualSpacing/>
        <w:jc w:val="both"/>
        <w:rPr>
          <w:color w:val="000000"/>
        </w:rPr>
      </w:pPr>
      <w:r>
        <w:rPr>
          <w:rFonts w:ascii="Arial" w:hAnsi="Arial"/>
          <w:i w:val="false"/>
          <w:iCs w:val="false"/>
          <w:color w:val="000000"/>
          <w:sz w:val="20"/>
        </w:rPr>
        <w:t xml:space="preserve">Fonte de </w:t>
      </w:r>
      <w:r>
        <w:rPr>
          <w:rFonts w:eastAsia="Arial" w:cs="Arial" w:ascii="Arial" w:hAnsi="Arial"/>
          <w:i w:val="false"/>
          <w:iCs w:val="false"/>
          <w:color w:val="000000"/>
          <w:sz w:val="20"/>
          <w:szCs w:val="20"/>
        </w:rPr>
        <w:t>r</w:t>
      </w:r>
      <w:r>
        <w:rPr>
          <w:rFonts w:ascii="Arial" w:hAnsi="Arial"/>
          <w:i w:val="false"/>
          <w:iCs w:val="false"/>
          <w:color w:val="000000"/>
          <w:sz w:val="20"/>
        </w:rPr>
        <w:t>ecursos: 1133000000</w:t>
      </w:r>
    </w:p>
    <w:p>
      <w:pPr>
        <w:pStyle w:val="ListParagraph"/>
        <w:numPr>
          <w:ilvl w:val="0"/>
          <w:numId w:val="6"/>
        </w:numPr>
        <w:spacing w:before="120" w:after="120"/>
        <w:ind w:left="284" w:hanging="0"/>
        <w:contextualSpacing/>
        <w:jc w:val="both"/>
        <w:rPr>
          <w:color w:val="000000"/>
        </w:rPr>
      </w:pPr>
      <w:r>
        <w:rPr>
          <w:rFonts w:ascii="Arial" w:hAnsi="Arial"/>
          <w:i w:val="false"/>
          <w:iCs w:val="false"/>
          <w:color w:val="000000"/>
          <w:sz w:val="20"/>
        </w:rPr>
        <w:t xml:space="preserve">Programa de </w:t>
      </w:r>
      <w:r>
        <w:rPr>
          <w:rFonts w:eastAsia="Arial" w:cs="Arial" w:ascii="Arial" w:hAnsi="Arial"/>
          <w:i w:val="false"/>
          <w:iCs w:val="false"/>
          <w:color w:val="000000"/>
          <w:sz w:val="20"/>
          <w:szCs w:val="20"/>
        </w:rPr>
        <w:t>t</w:t>
      </w:r>
      <w:r>
        <w:rPr>
          <w:rFonts w:ascii="Arial" w:hAnsi="Arial"/>
          <w:i w:val="false"/>
          <w:iCs w:val="false"/>
          <w:color w:val="000000"/>
          <w:sz w:val="20"/>
        </w:rPr>
        <w:t>rabalho: 230446</w:t>
      </w:r>
    </w:p>
    <w:p>
      <w:pPr>
        <w:pStyle w:val="ListParagraph"/>
        <w:numPr>
          <w:ilvl w:val="0"/>
          <w:numId w:val="6"/>
        </w:numPr>
        <w:spacing w:before="120" w:after="120"/>
        <w:ind w:left="284" w:hanging="0"/>
        <w:contextualSpacing/>
        <w:jc w:val="both"/>
        <w:rPr>
          <w:color w:val="000000"/>
        </w:rPr>
      </w:pPr>
      <w:r>
        <w:rPr>
          <w:rFonts w:ascii="Arial" w:hAnsi="Arial"/>
          <w:i w:val="false"/>
          <w:iCs w:val="false"/>
          <w:color w:val="000000"/>
          <w:sz w:val="20"/>
        </w:rPr>
        <w:t xml:space="preserve">Elemento de </w:t>
      </w:r>
      <w:r>
        <w:rPr>
          <w:rFonts w:eastAsia="Arial" w:cs="Arial" w:ascii="Arial" w:hAnsi="Arial"/>
          <w:i w:val="false"/>
          <w:iCs w:val="false"/>
          <w:color w:val="000000"/>
          <w:sz w:val="20"/>
          <w:szCs w:val="20"/>
        </w:rPr>
        <w:t>d</w:t>
      </w:r>
      <w:r>
        <w:rPr>
          <w:rFonts w:ascii="Arial" w:hAnsi="Arial"/>
          <w:i w:val="false"/>
          <w:iCs w:val="false"/>
          <w:color w:val="000000"/>
          <w:sz w:val="20"/>
        </w:rPr>
        <w:t>espesa:339032</w:t>
      </w:r>
    </w:p>
    <w:p>
      <w:pPr>
        <w:pStyle w:val="ListParagraph"/>
        <w:numPr>
          <w:ilvl w:val="0"/>
          <w:numId w:val="6"/>
        </w:numPr>
        <w:spacing w:before="120" w:after="120"/>
        <w:ind w:left="284" w:hanging="0"/>
        <w:contextualSpacing/>
        <w:jc w:val="both"/>
        <w:rPr>
          <w:color w:val="000000"/>
        </w:rPr>
      </w:pPr>
      <w:r>
        <w:rPr>
          <w:rFonts w:ascii="Arial" w:hAnsi="Arial"/>
          <w:i w:val="false"/>
          <w:iCs w:val="false"/>
          <w:color w:val="000000"/>
          <w:sz w:val="20"/>
        </w:rPr>
        <w:t xml:space="preserve">Plano </w:t>
      </w:r>
      <w:r>
        <w:rPr>
          <w:rFonts w:eastAsia="Arial" w:cs="Arial" w:ascii="Arial" w:hAnsi="Arial"/>
          <w:i w:val="false"/>
          <w:iCs w:val="false"/>
          <w:color w:val="000000"/>
          <w:sz w:val="20"/>
          <w:szCs w:val="20"/>
        </w:rPr>
        <w:t>interno: CFF53M9601N</w:t>
      </w:r>
    </w:p>
    <w:p>
      <w:pPr>
        <w:pStyle w:val="Nivel01"/>
        <w:numPr>
          <w:ilvl w:val="0"/>
          <w:numId w:val="3"/>
        </w:numPr>
        <w:ind w:left="357" w:hanging="357"/>
        <w:rPr>
          <w:color w:val="000000"/>
        </w:rPr>
      </w:pPr>
      <w:r>
        <w:rPr>
          <w:i w:val="false"/>
          <w:iCs w:val="false"/>
          <w:color w:val="000000"/>
        </w:rPr>
        <w:t>DISPOSIÇÕES FINAIS</w:t>
      </w:r>
    </w:p>
    <w:p>
      <w:pPr>
        <w:pStyle w:val="Nvel02"/>
        <w:numPr>
          <w:ilvl w:val="1"/>
          <w:numId w:val="3"/>
        </w:numPr>
        <w:ind w:left="0" w:right="0" w:hanging="0"/>
        <w:rPr>
          <w:color w:val="000000"/>
        </w:rPr>
      </w:pPr>
      <w:r>
        <w:rPr>
          <w:i w:val="false"/>
          <w:iCs w:val="false"/>
          <w:color w:val="000000"/>
        </w:rPr>
        <w:t>As informações contidas neste Termo de Referência não são classific</w:t>
      </w:r>
      <w:r>
        <w:rPr>
          <w:i w:val="false"/>
          <w:iCs w:val="false"/>
          <w:color w:val="000000"/>
          <w:shd w:fill="auto" w:val="clear"/>
        </w:rPr>
        <w:t>adas como sigilosas</w:t>
      </w:r>
      <w:bookmarkEnd w:id="0"/>
      <w:r>
        <w:rPr>
          <w:i w:val="false"/>
          <w:iCs w:val="false"/>
          <w:color w:val="000000"/>
          <w:shd w:fill="auto" w:val="clear"/>
        </w:rPr>
        <w:t>.</w:t>
      </w:r>
    </w:p>
    <w:p>
      <w:pPr>
        <w:pStyle w:val="Nvel2Opcional1"/>
        <w:numPr>
          <w:ilvl w:val="0"/>
          <w:numId w:val="0"/>
        </w:numPr>
        <w:ind w:left="709" w:right="0" w:hanging="0"/>
        <w:jc w:val="right"/>
        <w:rPr>
          <w:i w:val="false"/>
          <w:i w:val="false"/>
          <w:iCs w:val="false"/>
          <w:color w:val="000000"/>
        </w:rPr>
      </w:pPr>
      <w:r>
        <w:rPr>
          <w:i w:val="false"/>
          <w:iCs w:val="false"/>
          <w:color w:val="000000"/>
        </w:rPr>
      </w:r>
    </w:p>
    <w:p>
      <w:pPr>
        <w:pStyle w:val="Nvel2Opcional1"/>
        <w:numPr>
          <w:ilvl w:val="0"/>
          <w:numId w:val="0"/>
        </w:numPr>
        <w:ind w:left="709" w:right="0" w:hanging="0"/>
        <w:jc w:val="right"/>
        <w:rPr>
          <w:color w:val="000000"/>
        </w:rPr>
      </w:pPr>
      <w:r>
        <w:rPr>
          <w:i w:val="false"/>
          <w:iCs w:val="false"/>
          <w:color w:val="000000"/>
        </w:rPr>
        <w:t>Governador Mangabeira, 14 de Outubro de 2025.</w:t>
      </w:r>
    </w:p>
    <w:p>
      <w:pPr>
        <w:pStyle w:val="Nvel2Opcional1"/>
        <w:numPr>
          <w:ilvl w:val="0"/>
          <w:numId w:val="0"/>
        </w:numPr>
        <w:ind w:left="709" w:right="0" w:hanging="0"/>
        <w:rPr>
          <w:i w:val="false"/>
          <w:i w:val="false"/>
          <w:iCs w:val="false"/>
          <w:color w:val="000000"/>
        </w:rPr>
      </w:pPr>
      <w:r>
        <w:rPr>
          <w:i w:val="false"/>
          <w:iCs w:val="false"/>
          <w:color w:val="000000"/>
        </w:rPr>
      </w:r>
    </w:p>
    <w:p>
      <w:pPr>
        <w:pStyle w:val="Nvel2Opcional1"/>
        <w:numPr>
          <w:ilvl w:val="0"/>
          <w:numId w:val="0"/>
        </w:numPr>
        <w:ind w:left="709" w:right="0" w:hanging="0"/>
        <w:rPr>
          <w:color w:val="000000"/>
        </w:rPr>
      </w:pPr>
      <w:r>
        <w:rPr>
          <w:i w:val="false"/>
          <w:iCs w:val="false"/>
          <w:color w:val="000000"/>
        </w:rPr>
        <w:t>Elaborado por,</w:t>
      </w:r>
    </w:p>
    <w:p>
      <w:pPr>
        <w:pStyle w:val="Nvel2Opcional1"/>
        <w:numPr>
          <w:ilvl w:val="0"/>
          <w:numId w:val="0"/>
        </w:numPr>
        <w:ind w:left="709" w:right="0" w:hanging="0"/>
        <w:rPr>
          <w:i w:val="false"/>
          <w:i w:val="false"/>
          <w:iCs w:val="false"/>
          <w:color w:val="000000"/>
        </w:rPr>
      </w:pPr>
      <w:r>
        <w:rPr>
          <w:i w:val="false"/>
          <w:iCs w:val="false"/>
          <w:color w:val="000000"/>
        </w:rPr>
      </w:r>
    </w:p>
    <w:p>
      <w:pPr>
        <w:pStyle w:val="Nvel2Opcional1"/>
        <w:numPr>
          <w:ilvl w:val="0"/>
          <w:numId w:val="0"/>
        </w:numPr>
        <w:ind w:left="709" w:right="0" w:hanging="0"/>
        <w:jc w:val="center"/>
        <w:rPr>
          <w:color w:val="000000"/>
        </w:rPr>
      </w:pPr>
      <w:r>
        <w:rPr>
          <w:i w:val="false"/>
          <w:iCs w:val="false"/>
          <w:color w:val="000000"/>
        </w:rPr>
        <w:t>Cristiane Oliveira Costa</w:t>
      </w:r>
    </w:p>
    <w:p>
      <w:pPr>
        <w:pStyle w:val="Nvel2Opcional1"/>
        <w:numPr>
          <w:ilvl w:val="0"/>
          <w:numId w:val="0"/>
        </w:numPr>
        <w:ind w:left="709" w:right="0" w:hanging="0"/>
        <w:jc w:val="center"/>
        <w:rPr>
          <w:color w:val="000000"/>
        </w:rPr>
      </w:pPr>
      <w:r>
        <w:rPr>
          <w:i w:val="false"/>
          <w:iCs w:val="false"/>
          <w:color w:val="000000"/>
        </w:rPr>
        <w:t>Nutricionista</w:t>
      </w:r>
    </w:p>
    <w:p>
      <w:pPr>
        <w:pStyle w:val="Nvel2Opcional1"/>
        <w:widowControl/>
        <w:numPr>
          <w:ilvl w:val="0"/>
          <w:numId w:val="0"/>
        </w:numPr>
        <w:shd w:val="clear" w:color="auto" w:fill="auto"/>
        <w:suppressAutoHyphens w:val="true"/>
        <w:bidi w:val="0"/>
        <w:spacing w:lineRule="auto" w:line="276" w:before="120" w:after="120"/>
        <w:ind w:left="709" w:right="0" w:hanging="0"/>
        <w:jc w:val="center"/>
        <w:rPr>
          <w:color w:val="000000"/>
        </w:rPr>
      </w:pPr>
      <w:r>
        <w:rPr>
          <w:rFonts w:eastAsia="Arial" w:cs="Arial"/>
          <w:i w:val="false"/>
          <w:iCs w:val="false"/>
          <w:color w:val="000000"/>
          <w:kern w:val="0"/>
          <w:sz w:val="20"/>
          <w:szCs w:val="20"/>
          <w:lang w:val="pt-BR" w:eastAsia="pt-BR" w:bidi="ar-SA"/>
        </w:rPr>
        <w:t>Siape:1824520</w:t>
      </w:r>
    </w:p>
    <w:p>
      <w:pPr>
        <w:pStyle w:val="Nvel2Opcional1"/>
        <w:numPr>
          <w:ilvl w:val="0"/>
          <w:numId w:val="0"/>
        </w:numPr>
        <w:ind w:left="709" w:right="0" w:hanging="0"/>
        <w:rPr>
          <w:i w:val="false"/>
          <w:i w:val="false"/>
          <w:iCs w:val="false"/>
          <w:color w:val="000000"/>
        </w:rPr>
      </w:pPr>
      <w:r>
        <w:rPr>
          <w:i w:val="false"/>
          <w:iCs w:val="false"/>
          <w:color w:val="000000"/>
        </w:rPr>
      </w:r>
    </w:p>
    <w:p>
      <w:pPr>
        <w:pStyle w:val="Nvel2Opcional1"/>
        <w:numPr>
          <w:ilvl w:val="0"/>
          <w:numId w:val="0"/>
        </w:numPr>
        <w:ind w:left="709" w:right="0" w:hanging="0"/>
        <w:rPr>
          <w:color w:val="000000"/>
        </w:rPr>
      </w:pPr>
      <w:commentRangeStart w:id="28"/>
      <w:r>
        <w:rPr>
          <w:i w:val="false"/>
          <w:iCs w:val="false"/>
          <w:color w:val="000000"/>
        </w:rPr>
        <w:t>Aprovo o presente Termo de Referência,</w:t>
      </w:r>
    </w:p>
    <w:p>
      <w:pPr>
        <w:pStyle w:val="Nvel2Opcional1"/>
        <w:widowControl/>
        <w:numPr>
          <w:ilvl w:val="0"/>
          <w:numId w:val="0"/>
        </w:numPr>
        <w:shd w:val="clear" w:color="auto" w:fill="auto"/>
        <w:suppressAutoHyphens w:val="true"/>
        <w:bidi w:val="0"/>
        <w:spacing w:lineRule="auto" w:line="276" w:before="120" w:after="120"/>
        <w:ind w:left="709" w:right="0" w:hanging="0"/>
        <w:jc w:val="center"/>
        <w:rPr>
          <w:rFonts w:ascii="Arial" w:hAnsi="Arial" w:eastAsia="Arial" w:cs="Arial"/>
          <w:i w:val="false"/>
          <w:i w:val="false"/>
          <w:iCs w:val="false"/>
          <w:color w:val="000000"/>
          <w:kern w:val="0"/>
          <w:sz w:val="20"/>
          <w:szCs w:val="20"/>
          <w:lang w:val="pt-BR" w:eastAsia="pt-BR" w:bidi="ar-SA"/>
        </w:rPr>
      </w:pPr>
      <w:r>
        <w:rPr>
          <w:rFonts w:eastAsia="Arial" w:cs="Arial"/>
          <w:i w:val="false"/>
          <w:iCs w:val="false"/>
          <w:color w:val="000000"/>
          <w:kern w:val="0"/>
          <w:sz w:val="20"/>
          <w:szCs w:val="20"/>
          <w:lang w:val="pt-BR" w:eastAsia="pt-BR" w:bidi="ar-SA"/>
        </w:rPr>
      </w:r>
    </w:p>
    <w:p>
      <w:pPr>
        <w:pStyle w:val="Nvel2Opcional1"/>
        <w:widowControl/>
        <w:numPr>
          <w:ilvl w:val="0"/>
          <w:numId w:val="0"/>
        </w:numPr>
        <w:shd w:val="clear" w:color="auto" w:fill="auto"/>
        <w:suppressAutoHyphens w:val="true"/>
        <w:bidi w:val="0"/>
        <w:spacing w:lineRule="auto" w:line="276" w:before="120" w:after="120"/>
        <w:ind w:left="709" w:right="0" w:hanging="0"/>
        <w:jc w:val="center"/>
        <w:rPr>
          <w:rFonts w:ascii="Arial" w:hAnsi="Arial" w:eastAsia="Arial" w:cs="Arial"/>
          <w:i w:val="false"/>
          <w:i w:val="false"/>
          <w:iCs w:val="false"/>
          <w:color w:val="000000"/>
          <w:kern w:val="0"/>
          <w:sz w:val="20"/>
          <w:szCs w:val="20"/>
          <w:lang w:val="pt-BR" w:eastAsia="pt-BR" w:bidi="ar-SA"/>
        </w:rPr>
      </w:pPr>
      <w:r>
        <w:rPr>
          <w:rFonts w:eastAsia="Arial" w:cs="Arial"/>
          <w:i w:val="false"/>
          <w:iCs w:val="false"/>
          <w:color w:val="000000"/>
          <w:kern w:val="0"/>
          <w:sz w:val="20"/>
          <w:szCs w:val="20"/>
          <w:lang w:val="pt-BR" w:eastAsia="pt-BR" w:bidi="ar-SA"/>
        </w:rPr>
      </w:r>
    </w:p>
    <w:p>
      <w:pPr>
        <w:pStyle w:val="Nvel2Opcional1"/>
        <w:widowControl/>
        <w:numPr>
          <w:ilvl w:val="0"/>
          <w:numId w:val="0"/>
        </w:numPr>
        <w:shd w:val="clear" w:color="auto" w:fill="auto"/>
        <w:suppressAutoHyphens w:val="true"/>
        <w:bidi w:val="0"/>
        <w:spacing w:lineRule="auto" w:line="276" w:before="120" w:after="120"/>
        <w:ind w:left="709" w:right="0" w:hanging="0"/>
        <w:jc w:val="center"/>
        <w:rPr>
          <w:rFonts w:ascii="Arial" w:hAnsi="Arial" w:eastAsia="Arial" w:cs="Arial"/>
          <w:i w:val="false"/>
          <w:i w:val="false"/>
          <w:iCs w:val="false"/>
          <w:color w:val="000000"/>
          <w:kern w:val="0"/>
          <w:sz w:val="20"/>
          <w:szCs w:val="20"/>
          <w:lang w:val="pt-BR" w:eastAsia="pt-BR" w:bidi="ar-SA"/>
        </w:rPr>
      </w:pPr>
      <w:r>
        <w:rPr>
          <w:rFonts w:eastAsia="Arial" w:cs="Arial"/>
          <w:i w:val="false"/>
          <w:iCs w:val="false"/>
          <w:color w:val="000000"/>
          <w:kern w:val="0"/>
          <w:sz w:val="20"/>
          <w:szCs w:val="20"/>
          <w:lang w:val="pt-BR" w:eastAsia="pt-BR" w:bidi="ar-SA"/>
        </w:rPr>
      </w:r>
    </w:p>
    <w:p>
      <w:pPr>
        <w:pStyle w:val="Nvel2Opcional1"/>
        <w:widowControl/>
        <w:numPr>
          <w:ilvl w:val="0"/>
          <w:numId w:val="0"/>
        </w:numPr>
        <w:shd w:val="clear" w:color="auto" w:fill="auto"/>
        <w:suppressAutoHyphens w:val="true"/>
        <w:bidi w:val="0"/>
        <w:spacing w:lineRule="auto" w:line="276" w:before="120" w:after="120"/>
        <w:ind w:left="709" w:right="0" w:hanging="0"/>
        <w:jc w:val="center"/>
        <w:rPr>
          <w:color w:val="000000"/>
        </w:rPr>
      </w:pPr>
      <w:r>
        <w:rPr>
          <w:rFonts w:eastAsia="Arial" w:cs="Arial"/>
          <w:i w:val="false"/>
          <w:iCs w:val="false"/>
          <w:color w:val="000000"/>
          <w:kern w:val="0"/>
          <w:sz w:val="20"/>
          <w:szCs w:val="20"/>
          <w:lang w:val="pt-BR" w:eastAsia="pt-BR" w:bidi="ar-SA"/>
        </w:rPr>
        <w:t>Lívia Tosta dos Santos</w:t>
      </w:r>
    </w:p>
    <w:p>
      <w:pPr>
        <w:pStyle w:val="Nvel2Opcional1"/>
        <w:widowControl/>
        <w:numPr>
          <w:ilvl w:val="0"/>
          <w:numId w:val="0"/>
        </w:numPr>
        <w:shd w:val="clear" w:color="auto" w:fill="auto"/>
        <w:suppressAutoHyphens w:val="true"/>
        <w:bidi w:val="0"/>
        <w:spacing w:lineRule="auto" w:line="276" w:before="120" w:after="120"/>
        <w:ind w:left="709" w:right="0" w:hanging="0"/>
        <w:jc w:val="center"/>
        <w:rPr>
          <w:color w:val="000000"/>
        </w:rPr>
      </w:pPr>
      <w:r>
        <w:rPr>
          <w:rFonts w:eastAsia="Arial" w:cs="Arial"/>
          <w:i w:val="false"/>
          <w:iCs w:val="false"/>
          <w:color w:val="000000"/>
          <w:kern w:val="0"/>
          <w:sz w:val="20"/>
          <w:szCs w:val="20"/>
          <w:lang w:val="pt-BR" w:eastAsia="pt-BR" w:bidi="ar-SA"/>
        </w:rPr>
        <w:t>Diretora Geral</w:t>
      </w:r>
    </w:p>
    <w:p>
      <w:pPr>
        <w:pStyle w:val="Nvel2Opcional1"/>
        <w:widowControl/>
        <w:numPr>
          <w:ilvl w:val="0"/>
          <w:numId w:val="0"/>
        </w:numPr>
        <w:shd w:val="clear" w:color="auto" w:fill="auto"/>
        <w:suppressAutoHyphens w:val="true"/>
        <w:bidi w:val="0"/>
        <w:spacing w:lineRule="auto" w:line="276" w:before="120" w:after="120"/>
        <w:ind w:left="709" w:right="0" w:hanging="0"/>
        <w:jc w:val="center"/>
        <w:rPr>
          <w:color w:val="000000"/>
        </w:rPr>
      </w:pPr>
      <w:r>
        <w:rPr>
          <w:rFonts w:eastAsia="Arial" w:cs="Arial"/>
          <w:i w:val="false"/>
          <w:iCs w:val="false"/>
          <w:color w:val="000000"/>
          <w:kern w:val="0"/>
          <w:sz w:val="20"/>
          <w:szCs w:val="20"/>
          <w:lang w:val="pt-BR" w:eastAsia="pt-BR" w:bidi="ar-SA"/>
        </w:rPr>
        <w:t>Siape: 1783973</w:t>
      </w:r>
    </w:p>
    <w:p>
      <w:pPr>
        <w:pStyle w:val="Nvel2Opcional1"/>
        <w:widowControl/>
        <w:numPr>
          <w:ilvl w:val="0"/>
          <w:numId w:val="0"/>
        </w:numPr>
        <w:shd w:val="clear" w:color="auto" w:fill="auto"/>
        <w:suppressAutoHyphens w:val="true"/>
        <w:bidi w:val="0"/>
        <w:spacing w:lineRule="auto" w:line="276" w:before="120" w:after="120"/>
        <w:ind w:left="709" w:right="0" w:hanging="0"/>
        <w:jc w:val="center"/>
        <w:rPr>
          <w:rFonts w:ascii="Arial" w:hAnsi="Arial" w:eastAsia="Arial" w:cs="Arial"/>
          <w:i w:val="false"/>
          <w:i w:val="false"/>
          <w:iCs w:val="false"/>
          <w:color w:val="000000"/>
          <w:kern w:val="0"/>
          <w:sz w:val="20"/>
          <w:szCs w:val="20"/>
          <w:lang w:val="pt-BR" w:eastAsia="pt-BR" w:bidi="ar-SA"/>
        </w:rPr>
      </w:pPr>
      <w:r>
        <w:rPr>
          <w:rFonts w:eastAsia="Arial" w:cs="Arial"/>
          <w:i w:val="false"/>
          <w:iCs w:val="false"/>
          <w:color w:val="000000"/>
          <w:kern w:val="0"/>
          <w:sz w:val="20"/>
          <w:szCs w:val="20"/>
          <w:lang w:val="pt-BR" w:eastAsia="pt-BR" w:bidi="ar-SA"/>
        </w:rPr>
      </w:r>
      <w:r>
        <w:br w:type="page"/>
      </w:r>
    </w:p>
    <w:p>
      <w:pPr>
        <w:pStyle w:val="Normal"/>
        <w:numPr>
          <w:ilvl w:val="0"/>
          <w:numId w:val="0"/>
        </w:numPr>
        <w:spacing w:before="0" w:after="0"/>
        <w:ind w:left="357" w:hanging="0"/>
        <w:jc w:val="center"/>
        <w:outlineLvl w:val="0"/>
        <w:rPr>
          <w:color w:val="000000"/>
        </w:rPr>
      </w:pPr>
      <w:r>
        <w:rPr/>
      </w:r>
      <w:commentRangeEnd w:id="28"/>
      <w:r>
        <w:commentReference w:id="28"/>
      </w:r>
      <w:r>
        <w:rPr>
          <w:rFonts w:cs="Arial" w:ascii="Arial" w:hAnsi="Arial"/>
          <w:b/>
          <w:i w:val="false"/>
          <w:iCs w:val="false"/>
          <w:color w:val="000000"/>
          <w:sz w:val="20"/>
          <w:szCs w:val="20"/>
        </w:rPr>
        <w:t>ANEXO I</w:t>
      </w:r>
    </w:p>
    <w:p>
      <w:pPr>
        <w:pStyle w:val="Normal"/>
        <w:spacing w:before="0" w:after="360"/>
        <w:jc w:val="center"/>
        <w:rPr>
          <w:color w:val="000000"/>
        </w:rPr>
      </w:pPr>
      <w:r>
        <w:rPr>
          <w:rFonts w:cs="Arial" w:ascii="Arial" w:hAnsi="Arial"/>
          <w:b/>
          <w:i w:val="false"/>
          <w:iCs w:val="false"/>
          <w:color w:val="000000"/>
          <w:sz w:val="20"/>
          <w:szCs w:val="20"/>
        </w:rPr>
        <w:t xml:space="preserve">TERMO DE CIÊNCIA E </w:t>
      </w:r>
      <w:commentRangeStart w:id="29"/>
      <w:r>
        <w:rPr>
          <w:rFonts w:cs="Arial" w:ascii="Arial" w:hAnsi="Arial"/>
          <w:b/>
          <w:i w:val="false"/>
          <w:iCs w:val="false"/>
          <w:color w:val="000000"/>
          <w:sz w:val="20"/>
          <w:szCs w:val="20"/>
        </w:rPr>
        <w:t>CONCORDÂNCIA</w:t>
      </w:r>
      <w:commentRangeEnd w:id="29"/>
      <w:r>
        <w:commentReference w:id="29"/>
      </w:r>
      <w:r>
        <w:rPr>
          <w:rFonts w:cs="Arial" w:ascii="Arial" w:hAnsi="Arial"/>
          <w:b/>
          <w:i w:val="false"/>
          <w:iCs w:val="false"/>
          <w:color w:val="000000"/>
          <w:sz w:val="20"/>
          <w:szCs w:val="20"/>
        </w:rPr>
      </w:r>
    </w:p>
    <w:p>
      <w:pPr>
        <w:pStyle w:val="Normal"/>
        <w:spacing w:lineRule="auto" w:line="276" w:before="120" w:after="120"/>
        <w:ind w:firstLine="1134"/>
        <w:jc w:val="both"/>
        <w:rPr>
          <w:color w:val="000000"/>
        </w:rPr>
      </w:pPr>
      <w:r>
        <w:rPr>
          <w:rFonts w:cs="Arial" w:ascii="Arial" w:hAnsi="Arial"/>
          <w:i w:val="false"/>
          <w:iCs w:val="false"/>
          <w:color w:val="000000"/>
          <w:sz w:val="20"/>
          <w:szCs w:val="20"/>
        </w:rPr>
        <w:t>Por meio deste instrumento, ..................... (identificar o Contratado) declara que está ciente e concorda com as disposições e obrigações previstas no Aviso de Contratação Direta, no Termo de Referência e nos demais anexos a que se refere a Chamada Publica nº 01/2025, bem como que se responsabiliza, sob as penas da Lei, pela veracidade e legitimidade das informações e documentos apresentados durante o processo de contratação.</w:t>
      </w:r>
    </w:p>
    <w:p>
      <w:pPr>
        <w:pStyle w:val="Normal"/>
        <w:spacing w:before="360" w:after="0"/>
        <w:jc w:val="center"/>
        <w:rPr>
          <w:color w:val="000000"/>
        </w:rPr>
      </w:pPr>
      <w:r>
        <w:rPr>
          <w:rFonts w:cs="Arial" w:ascii="Arial" w:hAnsi="Arial"/>
          <w:i w:val="false"/>
          <w:iCs w:val="false"/>
          <w:color w:val="000000"/>
          <w:sz w:val="20"/>
          <w:szCs w:val="20"/>
        </w:rPr>
        <w:t>Local-UF, ........ de ................... de 20.... .</w:t>
      </w:r>
    </w:p>
    <w:p>
      <w:pPr>
        <w:pStyle w:val="Normal"/>
        <w:spacing w:before="480" w:after="0"/>
        <w:jc w:val="center"/>
        <w:rPr>
          <w:color w:val="000000"/>
        </w:rPr>
      </w:pPr>
      <w:r>
        <w:rPr>
          <w:rFonts w:cs="Arial" w:ascii="Arial" w:hAnsi="Arial"/>
          <w:i w:val="false"/>
          <w:iCs w:val="false"/>
          <w:color w:val="000000"/>
          <w:sz w:val="20"/>
          <w:szCs w:val="20"/>
        </w:rPr>
        <w:t>__________________________________________</w:t>
      </w:r>
    </w:p>
    <w:p>
      <w:pPr>
        <w:pStyle w:val="Normal"/>
        <w:jc w:val="center"/>
        <w:rPr>
          <w:color w:val="000000"/>
        </w:rPr>
      </w:pPr>
      <w:r>
        <w:rPr>
          <w:rFonts w:cs="Arial" w:ascii="Arial" w:hAnsi="Arial"/>
          <w:i w:val="false"/>
          <w:iCs w:val="false"/>
          <w:color w:val="000000"/>
          <w:sz w:val="20"/>
          <w:szCs w:val="20"/>
        </w:rPr>
        <w:t xml:space="preserve">(Nome </w:t>
      </w:r>
      <w:r>
        <w:rPr>
          <w:rFonts w:ascii="Arial" w:hAnsi="Arial"/>
          <w:i w:val="false"/>
          <w:iCs w:val="false"/>
          <w:color w:val="000000"/>
          <w:sz w:val="20"/>
        </w:rPr>
        <w:t>e Cargo do Representante Legal</w:t>
      </w:r>
      <w:r>
        <w:rPr>
          <w:rFonts w:cs="Arial" w:ascii="Arial" w:hAnsi="Arial"/>
          <w:i w:val="false"/>
          <w:iCs w:val="false"/>
          <w:color w:val="000000"/>
          <w:sz w:val="20"/>
          <w:szCs w:val="20"/>
        </w:rPr>
        <w:t>)</w:t>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spacing w:lineRule="auto" w:line="360"/>
        <w:jc w:val="center"/>
        <w:rPr>
          <w:color w:val="000000"/>
        </w:rPr>
      </w:pPr>
      <w:r>
        <w:rPr>
          <w:rFonts w:cs="Arial" w:ascii="Arial" w:hAnsi="Arial"/>
          <w:b/>
          <w:bCs/>
          <w:i w:val="false"/>
          <w:iCs w:val="false"/>
          <w:color w:val="000000"/>
          <w:sz w:val="20"/>
          <w:szCs w:val="20"/>
        </w:rPr>
        <w:t>ANEXO II</w:t>
      </w:r>
    </w:p>
    <w:p>
      <w:pPr>
        <w:pStyle w:val="Normal"/>
        <w:spacing w:lineRule="auto" w:line="360"/>
        <w:jc w:val="center"/>
        <w:rPr>
          <w:color w:val="000000"/>
        </w:rPr>
      </w:pPr>
      <w:r>
        <w:rPr>
          <w:rFonts w:cs="Arial" w:ascii="Arial" w:hAnsi="Arial"/>
          <w:b/>
          <w:bCs/>
          <w:i w:val="false"/>
          <w:iCs w:val="false"/>
          <w:color w:val="000000"/>
          <w:sz w:val="20"/>
          <w:szCs w:val="20"/>
        </w:rPr>
        <w:t>DECLARAÇÃO DE ORIGEM DOS PRODUTOS</w:t>
      </w:r>
    </w:p>
    <w:p>
      <w:pPr>
        <w:pStyle w:val="Normal"/>
        <w:spacing w:lineRule="auto" w:line="360"/>
        <w:jc w:val="center"/>
        <w:rPr>
          <w:color w:val="000000"/>
        </w:rPr>
      </w:pPr>
      <w:r>
        <w:rPr>
          <w:rFonts w:cs="Arial" w:ascii="Arial" w:hAnsi="Arial"/>
          <w:b/>
          <w:bCs/>
          <w:i w:val="false"/>
          <w:iCs w:val="false"/>
          <w:color w:val="000000"/>
          <w:sz w:val="20"/>
          <w:szCs w:val="20"/>
        </w:rPr>
        <w:t>AGRICULTOR INDIVIDUAL E GRUPOS INFORMAIS</w:t>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both"/>
        <w:rPr>
          <w:rFonts w:ascii="Arial" w:hAnsi="Arial" w:cs="Arial"/>
          <w:i w:val="false"/>
          <w:i w:val="false"/>
          <w:iCs w:val="false"/>
          <w:color w:val="000000"/>
          <w:sz w:val="20"/>
          <w:szCs w:val="20"/>
        </w:rPr>
      </w:pPr>
      <w:r>
        <w:rPr>
          <w:rFonts w:cs="Arial" w:ascii="Arial" w:hAnsi="Arial"/>
          <w:i w:val="false"/>
          <w:iCs w:val="false"/>
          <w:color w:val="000000"/>
          <w:sz w:val="20"/>
          <w:szCs w:val="20"/>
        </w:rPr>
      </w:r>
    </w:p>
    <w:p>
      <w:pPr>
        <w:pStyle w:val="Normal"/>
        <w:spacing w:lineRule="auto" w:line="360"/>
        <w:jc w:val="both"/>
        <w:rPr>
          <w:color w:val="000000"/>
        </w:rPr>
      </w:pPr>
      <w:r>
        <w:rPr>
          <w:rFonts w:cs="Arial" w:ascii="Arial" w:hAnsi="Arial"/>
          <w:i w:val="false"/>
          <w:iCs w:val="false"/>
          <w:color w:val="000000"/>
          <w:sz w:val="20"/>
          <w:szCs w:val="20"/>
        </w:rPr>
        <w:t xml:space="preserve">Declaro para os devidos fins que os gêneros alimentícios a serem fornecidos ao Instituto Federal de Educação, Ciência e Tecnologia Baiano – Campus Governador Mangabeira, por mim ofertados no Projeto de Venda, apresentado para participação na Chamada Pública nº 01/2025, processo </w:t>
      </w:r>
      <w:r>
        <w:rPr>
          <w:rFonts w:cs="Arial" w:ascii="Arial" w:hAnsi="Arial"/>
          <w:bCs/>
          <w:i w:val="false"/>
          <w:iCs w:val="false"/>
          <w:color w:val="000000"/>
          <w:sz w:val="20"/>
          <w:szCs w:val="20"/>
        </w:rPr>
        <w:t>23337.251766.2025-11</w:t>
      </w:r>
      <w:r>
        <w:rPr>
          <w:rFonts w:cs="Arial" w:ascii="Arial" w:hAnsi="Arial"/>
          <w:i w:val="false"/>
          <w:iCs w:val="false"/>
          <w:color w:val="000000"/>
          <w:sz w:val="20"/>
          <w:szCs w:val="20"/>
        </w:rPr>
        <w:t>, são oriundos de minha própria produção.</w:t>
      </w:r>
    </w:p>
    <w:p>
      <w:pPr>
        <w:pStyle w:val="Normal"/>
        <w:spacing w:lineRule="auto" w:line="360"/>
        <w:jc w:val="center"/>
        <w:rPr>
          <w:rFonts w:ascii="Arial" w:hAnsi="Arial" w:cs="Arial"/>
          <w:i w:val="false"/>
          <w:i w:val="false"/>
          <w:iCs w:val="false"/>
          <w:color w:val="000000"/>
          <w:sz w:val="20"/>
          <w:szCs w:val="20"/>
        </w:rPr>
      </w:pPr>
      <w:r>
        <w:rPr>
          <w:rFonts w:cs="Arial" w:ascii="Arial" w:hAnsi="Arial"/>
          <w:i w:val="false"/>
          <w:iCs w:val="false"/>
          <w:color w:val="000000"/>
          <w:sz w:val="20"/>
          <w:szCs w:val="20"/>
        </w:rPr>
      </w:r>
    </w:p>
    <w:p>
      <w:pPr>
        <w:pStyle w:val="Normal"/>
        <w:jc w:val="center"/>
        <w:rPr>
          <w:color w:val="000000"/>
        </w:rPr>
      </w:pPr>
      <w:r>
        <w:rPr>
          <w:rFonts w:cs="Arial" w:ascii="Arial" w:hAnsi="Arial"/>
          <w:i w:val="false"/>
          <w:iCs w:val="false"/>
          <w:color w:val="000000"/>
          <w:sz w:val="20"/>
          <w:szCs w:val="20"/>
        </w:rPr>
        <w:t>Local e Data</w:t>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color w:val="000000"/>
        </w:rPr>
      </w:pPr>
      <w:r>
        <w:rPr>
          <w:rFonts w:cs="Arial" w:ascii="Arial" w:hAnsi="Arial"/>
          <w:i w:val="false"/>
          <w:iCs w:val="false"/>
          <w:color w:val="000000"/>
          <w:sz w:val="20"/>
          <w:szCs w:val="20"/>
        </w:rPr>
        <w:t>Assinatura do Produtor</w:t>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spacing w:lineRule="auto" w:line="360"/>
        <w:jc w:val="center"/>
        <w:rPr>
          <w:color w:val="000000"/>
        </w:rPr>
      </w:pPr>
      <w:r>
        <w:rPr>
          <w:rFonts w:cs="Arial" w:ascii="Arial" w:hAnsi="Arial"/>
          <w:b/>
          <w:bCs/>
          <w:i w:val="false"/>
          <w:iCs w:val="false"/>
          <w:color w:val="000000"/>
          <w:sz w:val="20"/>
          <w:szCs w:val="20"/>
        </w:rPr>
        <w:t>ANEXO III</w:t>
      </w:r>
    </w:p>
    <w:p>
      <w:pPr>
        <w:pStyle w:val="Normal"/>
        <w:spacing w:lineRule="auto" w:line="360"/>
        <w:jc w:val="center"/>
        <w:rPr>
          <w:color w:val="000000"/>
        </w:rPr>
      </w:pPr>
      <w:r>
        <w:rPr>
          <w:rFonts w:cs="Arial" w:ascii="Arial" w:hAnsi="Arial"/>
          <w:b/>
          <w:bCs/>
          <w:i w:val="false"/>
          <w:iCs w:val="false"/>
          <w:color w:val="000000"/>
          <w:sz w:val="20"/>
          <w:szCs w:val="20"/>
        </w:rPr>
        <w:t>DECLARAÇÃO DE ORIGEM DOS PRODUTOS GRUPOS FORMAIS</w:t>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both"/>
        <w:rPr>
          <w:rFonts w:ascii="Arial" w:hAnsi="Arial" w:cs="Arial"/>
          <w:i w:val="false"/>
          <w:i w:val="false"/>
          <w:iCs w:val="false"/>
          <w:color w:val="000000"/>
          <w:sz w:val="20"/>
          <w:szCs w:val="20"/>
        </w:rPr>
      </w:pPr>
      <w:r>
        <w:rPr>
          <w:rFonts w:cs="Arial" w:ascii="Arial" w:hAnsi="Arial"/>
          <w:i w:val="false"/>
          <w:iCs w:val="false"/>
          <w:color w:val="000000"/>
          <w:sz w:val="20"/>
          <w:szCs w:val="20"/>
        </w:rPr>
      </w:r>
    </w:p>
    <w:p>
      <w:pPr>
        <w:pStyle w:val="Normal"/>
        <w:spacing w:lineRule="auto" w:line="360"/>
        <w:jc w:val="both"/>
        <w:rPr>
          <w:color w:val="000000"/>
        </w:rPr>
      </w:pPr>
      <w:r>
        <w:rPr>
          <w:rFonts w:cs="Arial" w:ascii="Arial" w:hAnsi="Arial"/>
          <w:i w:val="false"/>
          <w:iCs w:val="false"/>
          <w:color w:val="000000"/>
          <w:sz w:val="20"/>
          <w:szCs w:val="20"/>
        </w:rPr>
        <w:t xml:space="preserve">Declaro para os devidos fins que os gêneros alimentícios a serem fornecidos ao Instituto Federal de Educação, Ciência e Tecnologia Baiano – Campus Governador Mangabeira, ofertados no Projeto de Venda, apresentado para participação na Chamada Pública nº 01/2025, processo </w:t>
      </w:r>
      <w:r>
        <w:rPr>
          <w:rFonts w:cs="Arial" w:ascii="Arial" w:hAnsi="Arial"/>
          <w:bCs/>
          <w:i w:val="false"/>
          <w:iCs w:val="false"/>
          <w:color w:val="000000"/>
          <w:sz w:val="20"/>
          <w:szCs w:val="20"/>
        </w:rPr>
        <w:t>23337.251766.2025-11</w:t>
      </w:r>
      <w:r>
        <w:rPr>
          <w:rFonts w:cs="Arial" w:ascii="Arial" w:hAnsi="Arial"/>
          <w:i w:val="false"/>
          <w:iCs w:val="false"/>
          <w:color w:val="000000"/>
          <w:sz w:val="20"/>
          <w:szCs w:val="20"/>
        </w:rPr>
        <w:t>, são oriundos da produção dos cooperados/associados que possuem CAF ou DAP física e compõem esta cooperativa/associação.</w:t>
      </w:r>
    </w:p>
    <w:p>
      <w:pPr>
        <w:pStyle w:val="Normal"/>
        <w:spacing w:lineRule="auto" w:line="360"/>
        <w:jc w:val="center"/>
        <w:rPr>
          <w:rFonts w:ascii="Arial" w:hAnsi="Arial" w:cs="Arial"/>
          <w:i w:val="false"/>
          <w:i w:val="false"/>
          <w:iCs w:val="false"/>
          <w:color w:val="000000"/>
          <w:sz w:val="20"/>
          <w:szCs w:val="20"/>
        </w:rPr>
      </w:pPr>
      <w:r>
        <w:rPr>
          <w:rFonts w:cs="Arial" w:ascii="Arial" w:hAnsi="Arial"/>
          <w:i w:val="false"/>
          <w:iCs w:val="false"/>
          <w:color w:val="000000"/>
          <w:sz w:val="20"/>
          <w:szCs w:val="20"/>
        </w:rPr>
      </w:r>
    </w:p>
    <w:p>
      <w:pPr>
        <w:pStyle w:val="Normal"/>
        <w:jc w:val="center"/>
        <w:rPr>
          <w:color w:val="000000"/>
        </w:rPr>
      </w:pPr>
      <w:r>
        <w:rPr>
          <w:rFonts w:cs="Arial" w:ascii="Arial" w:hAnsi="Arial"/>
          <w:i w:val="false"/>
          <w:iCs w:val="false"/>
          <w:color w:val="000000"/>
          <w:sz w:val="20"/>
          <w:szCs w:val="20"/>
        </w:rPr>
        <w:t>Local e Data</w:t>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color w:val="000000"/>
        </w:rPr>
      </w:pPr>
      <w:r>
        <w:rPr>
          <w:rFonts w:cs="Arial" w:ascii="Arial" w:hAnsi="Arial"/>
          <w:i w:val="false"/>
          <w:iCs w:val="false"/>
          <w:color w:val="000000"/>
          <w:sz w:val="20"/>
          <w:szCs w:val="20"/>
        </w:rPr>
        <w:t>Assinatura do Representante da Associação/Cooperativa</w:t>
      </w:r>
    </w:p>
    <w:p>
      <w:pPr>
        <w:pStyle w:val="Normal"/>
        <w:jc w:val="center"/>
        <w:rPr>
          <w:i w:val="false"/>
          <w:i w:val="false"/>
          <w:iCs w:val="false"/>
          <w:color w:val="000000"/>
        </w:rPr>
      </w:pPr>
      <w:r>
        <w:rPr>
          <w:i w:val="false"/>
          <w:iCs w:val="false"/>
          <w:color w:val="00000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spacing w:lineRule="auto" w:line="360"/>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color w:val="000000"/>
        </w:rPr>
      </w:pPr>
      <w:r>
        <w:rPr>
          <w:rFonts w:cs="Arial" w:ascii="Arial" w:hAnsi="Arial"/>
          <w:b/>
          <w:bCs/>
          <w:i w:val="false"/>
          <w:iCs w:val="false"/>
          <w:color w:val="000000"/>
          <w:sz w:val="20"/>
          <w:szCs w:val="20"/>
        </w:rPr>
        <w:t>ANEXO IV</w:t>
      </w:r>
    </w:p>
    <w:p>
      <w:pPr>
        <w:pStyle w:val="Normal"/>
        <w:jc w:val="center"/>
        <w:rPr>
          <w:color w:val="000000"/>
        </w:rPr>
      </w:pPr>
      <w:r>
        <w:rPr>
          <w:rFonts w:cs="Arial" w:ascii="Arial" w:hAnsi="Arial"/>
          <w:b/>
          <w:bCs/>
          <w:i w:val="false"/>
          <w:iCs w:val="false"/>
          <w:color w:val="000000"/>
          <w:sz w:val="20"/>
          <w:szCs w:val="20"/>
        </w:rPr>
        <w:t>MODELO DE DECLARAÇÃO DE RESPONSABILIDADE PELO CONTROLE DO ATENDIMENTO DO LIMITE INDIVIDUAL DE VENDA DE SEUS COOPERADOS/ASSOCIADOS</w:t>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both"/>
        <w:rPr>
          <w:rFonts w:ascii="Arial" w:hAnsi="Arial" w:cs="Arial"/>
          <w:i w:val="false"/>
          <w:i w:val="false"/>
          <w:iCs w:val="false"/>
          <w:color w:val="000000"/>
          <w:sz w:val="20"/>
          <w:szCs w:val="20"/>
        </w:rPr>
      </w:pPr>
      <w:r>
        <w:rPr>
          <w:rFonts w:cs="Arial" w:ascii="Arial" w:hAnsi="Arial"/>
          <w:i w:val="false"/>
          <w:iCs w:val="false"/>
          <w:color w:val="000000"/>
          <w:sz w:val="20"/>
          <w:szCs w:val="20"/>
        </w:rPr>
      </w:r>
    </w:p>
    <w:p>
      <w:pPr>
        <w:pStyle w:val="Normal"/>
        <w:spacing w:lineRule="auto" w:line="360"/>
        <w:jc w:val="both"/>
        <w:rPr>
          <w:color w:val="000000"/>
        </w:rPr>
      </w:pPr>
      <w:r>
        <w:rPr>
          <w:rFonts w:cs="Arial" w:ascii="Arial" w:hAnsi="Arial"/>
          <w:i w:val="false"/>
          <w:iCs w:val="false"/>
          <w:color w:val="000000"/>
          <w:sz w:val="20"/>
          <w:szCs w:val="20"/>
        </w:rPr>
        <w:t xml:space="preserve">O(A) CNPJ Nº sede ___________________________________________, neste ato Representado(a) por (nome do representante legal de acordo com o Projeto de Venda)___________________________________, portador (a) da Cédula de Identidade RG nº ______________, CPF nº _______________________, nos termos do Estatuto Social, DECLARA que se responsabilizará pelo controle do limite individual de venda de gêneros alimentícios dos Agricultores e Empreendedores de Base Familiar Rural que compõem o quadro social da entidade, no valor de R$ 40.000,00 (quarenta mil reais) por CAF/ANO ou DAP/ANO CIVIL/ENTIDADE EXECUTORA, referente a sua produção, considerando os dispositivos da Lei nº 11.947/2009 e da Resolução CD/FNDE nº 06 de 08, de maio de 2020, alterada pelas Resoluções 101021/2021 e nº 03, de 04 de fevereiro de 2025, que regem o Programa Nacional de Alimentação Escolar–PNAE e demais documentos normativos, no que couber. </w:t>
      </w:r>
    </w:p>
    <w:p>
      <w:pPr>
        <w:pStyle w:val="Normal"/>
        <w:jc w:val="center"/>
        <w:rPr>
          <w:i w:val="false"/>
          <w:i w:val="false"/>
          <w:iCs w:val="false"/>
          <w:color w:val="000000"/>
        </w:rPr>
      </w:pPr>
      <w:r>
        <w:rPr>
          <w:i w:val="false"/>
          <w:iCs w:val="false"/>
          <w:color w:val="000000"/>
        </w:rPr>
      </w:r>
    </w:p>
    <w:p>
      <w:pPr>
        <w:pStyle w:val="Normal"/>
        <w:jc w:val="center"/>
        <w:rPr>
          <w:color w:val="000000"/>
        </w:rPr>
      </w:pPr>
      <w:r>
        <w:rPr>
          <w:rFonts w:cs="Arial" w:ascii="Arial" w:hAnsi="Arial"/>
          <w:i w:val="false"/>
          <w:iCs w:val="false"/>
          <w:color w:val="000000"/>
          <w:sz w:val="20"/>
          <w:szCs w:val="20"/>
        </w:rPr>
        <w:t>Local e Data</w:t>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color w:val="000000"/>
        </w:rPr>
      </w:pPr>
      <w:r>
        <w:rPr>
          <w:rFonts w:cs="Arial" w:ascii="Arial" w:hAnsi="Arial"/>
          <w:i w:val="false"/>
          <w:iCs w:val="false"/>
          <w:color w:val="000000"/>
          <w:sz w:val="20"/>
          <w:szCs w:val="20"/>
        </w:rPr>
        <w:t>________________________________________</w:t>
      </w:r>
    </w:p>
    <w:p>
      <w:pPr>
        <w:pStyle w:val="Normal"/>
        <w:tabs>
          <w:tab w:val="clear" w:pos="709"/>
          <w:tab w:val="left" w:pos="6180" w:leader="none"/>
        </w:tabs>
        <w:jc w:val="center"/>
        <w:rPr>
          <w:color w:val="000000"/>
        </w:rPr>
      </w:pPr>
      <w:r>
        <w:rPr>
          <w:rFonts w:cs="Arial" w:ascii="Arial" w:hAnsi="Arial"/>
          <w:i w:val="false"/>
          <w:iCs w:val="false"/>
          <w:color w:val="000000"/>
          <w:sz w:val="20"/>
          <w:szCs w:val="20"/>
        </w:rPr>
        <w:t>Nome do Produtor ou Representante legal da entidade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418" w:top="3801" w:footer="709" w:bottom="1418"/>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1" w:author="Autor" w:date="0-00-00T00:00:00Z" w:initials="A">
    <w:p>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xml:space="preserve"> Não preencher as colunas relativas ao "valor unitário" e ao "valor total" quando o orçamento for sigiloso.</w:t>
      </w:r>
    </w:p>
  </w:comment>
  <w:comment w:id="0" w:author="Autor" w:date="0-00-00T00:00:00Z" w:initials="A">
    <w:p>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A tabela acima é meramente ilustrativa, podendo ser livremente alterada conforme o caso concreto.</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A justificativa para o parcelamento ou não do objeto deve constar do Estudo Técnico Preliminar (</w:t>
      </w:r>
      <w:r>
        <w:fldChar w:fldCharType="begin"/>
      </w:r>
      <w:r>
        <w:instrText> HYPERLINK "http://www.planalto.gov.br/ccivil_03/_ato2019-2022/2021/lei/L14133.htm" \l "art18§1"</w:instrText>
      </w:r>
      <w:r>
        <w:fldChar w:fldCharType="separate"/>
      </w:r>
      <w:r>
        <w:rPr>
          <w:rFonts w:ascii="Liberation Serif" w:hAnsi="Liberation Serif" w:eastAsia="Segoe UI"/>
          <w:i/>
          <w:iCs/>
          <w:color w:val="000000"/>
          <w:lang w:val="en-US" w:eastAsia="en-US" w:bidi="en-US"/>
        </w:rPr>
        <w:t>art. 18, §1º, inciso VIII, da Lei nº 14.133, de 2021</w:t>
      </w:r>
      <w:r>
        <w:fldChar w:fldCharType="end"/>
      </w:r>
      <w:r>
        <w:rPr>
          <w:rFonts w:ascii="Liberation Serif" w:hAnsi="Liberation Serif" w:eastAsia="Segoe UI"/>
          <w:i/>
          <w:iCs/>
          <w:color w:val="000000"/>
          <w:lang w:val="en-US" w:eastAsia="en-US" w:bidi="en-US"/>
        </w:rPr>
        <w:t xml:space="preserve">, e </w:t>
      </w:r>
      <w:r>
        <w:fldChar w:fldCharType="begin"/>
      </w:r>
      <w:r>
        <w:instrText> HYPERLINK "https://www.gov.br/compras/pt-br/acesso-a-informacao/legislacao/instrucoes-normativas/instrucao-normativa-seges-no-58-de-8-de-agosto-de-2022" \l "art9"</w:instrText>
      </w:r>
      <w:r>
        <w:fldChar w:fldCharType="separate"/>
      </w:r>
      <w:r>
        <w:rPr>
          <w:rFonts w:ascii="Liberation Serif" w:hAnsi="Liberation Serif" w:eastAsia="Segoe UI"/>
          <w:i/>
          <w:iCs/>
          <w:color w:val="000000"/>
          <w:lang w:val="en-US" w:eastAsia="en-US" w:bidi="en-US"/>
        </w:rPr>
        <w:t>art. 9º, inciso VII, da Instrução Normativa SEGES nº 58, de 8 de agosto de 2022</w:t>
      </w:r>
      <w:r>
        <w:fldChar w:fldCharType="end"/>
      </w:r>
      <w:r>
        <w:rPr>
          <w:rFonts w:ascii="Liberation Serif" w:hAnsi="Liberation Serif" w:eastAsia="Segoe UI"/>
          <w:i/>
          <w:iCs/>
          <w:color w:val="000000"/>
          <w:lang w:val="en-US" w:eastAsia="en-US" w:bidi="en-US"/>
        </w:rPr>
        <w:t>). Os serviços, como regra, devem atender ao parcelamento quando for tecnicamente viável e economicamente vantajoso (</w:t>
      </w:r>
      <w:r>
        <w:fldChar w:fldCharType="begin"/>
      </w:r>
      <w:r>
        <w:instrText> HYPERLINK "http://www.planalto.gov.br/ccivil_03/_ato2019-2022/2021/lei/L14133.htm" \l "art47"</w:instrText>
      </w:r>
      <w:r>
        <w:fldChar w:fldCharType="separate"/>
      </w:r>
      <w:r>
        <w:rPr>
          <w:rFonts w:ascii="Liberation Serif" w:hAnsi="Liberation Serif" w:eastAsia="Segoe UI"/>
          <w:i/>
          <w:iCs/>
          <w:color w:val="000000"/>
          <w:lang w:val="en-US" w:eastAsia="en-US" w:bidi="en-US"/>
        </w:rPr>
        <w:t>art. 47, inciso II, da Lei n. 14.133, de 2021</w:t>
      </w:r>
      <w:r>
        <w:fldChar w:fldCharType="end"/>
      </w:r>
      <w:r>
        <w:rPr>
          <w:rFonts w:ascii="Liberation Serif" w:hAnsi="Liberation Serif" w:eastAsia="Segoe UI"/>
          <w:i/>
          <w:iCs/>
          <w:color w:val="000000"/>
          <w:lang w:val="en-US" w:eastAsia="en-US" w:bidi="en-US"/>
        </w:rPr>
        <w:t xml:space="preserve">). Devem também ser observadas as regras do </w:t>
      </w:r>
      <w:r>
        <w:fldChar w:fldCharType="begin"/>
      </w:r>
      <w:r>
        <w:instrText> HYPERLINK "http://www.planalto.gov.br/ccivil_03/_ato2019-2022/2021/lei/L14133.htm" \l "art47§1"</w:instrText>
      </w:r>
      <w:r>
        <w:fldChar w:fldCharType="separate"/>
      </w:r>
      <w:r>
        <w:rPr>
          <w:rFonts w:ascii="Liberation Serif" w:hAnsi="Liberation Serif" w:eastAsia="Segoe UI"/>
          <w:i/>
          <w:iCs/>
          <w:color w:val="000000"/>
          <w:lang w:val="en-US" w:eastAsia="en-US" w:bidi="en-US"/>
        </w:rPr>
        <w:t>artigo 47, § 1º, da Lei n. 14.133, de 2021</w:t>
      </w:r>
      <w:r>
        <w:fldChar w:fldCharType="end"/>
      </w:r>
      <w:r>
        <w:rPr>
          <w:rFonts w:ascii="Liberation Serif" w:hAnsi="Liberation Serif" w:eastAsia="Segoe UI"/>
          <w:i/>
          <w:iCs/>
          <w:color w:val="000000"/>
          <w:lang w:val="en-US" w:eastAsia="en-US" w:bidi="en-US"/>
        </w:rPr>
        <w:t>, que trata de aspectos a serem considerados na aplicação do princípio do parcelamento.</w:t>
      </w:r>
    </w:p>
    <w:p>
      <w:r>
        <w:rPr>
          <w:rFonts w:ascii="Liberation Serif" w:hAnsi="Liberation Serif" w:eastAsia="Segoe UI"/>
          <w:lang w:val="en-US" w:eastAsia="en-US" w:bidi="en-US"/>
        </w:rPr>
      </w:r>
    </w:p>
    <w:p>
      <w:r>
        <w:rPr>
          <w:rFonts w:ascii="Liberation Serif" w:hAnsi="Liberation Serif" w:eastAsia="Segoe UI"/>
          <w:b/>
          <w:bCs/>
          <w:i/>
          <w:iCs/>
          <w:lang w:val="en-US" w:eastAsia="en-US" w:bidi="en-US"/>
        </w:rPr>
        <w:t>Nota Explicativa 3</w:t>
      </w:r>
      <w:r>
        <w:rPr>
          <w:rFonts w:ascii="Liberation Serif" w:hAnsi="Liberation Serif" w:eastAsia="Segoe UI"/>
          <w:i/>
          <w:iCs/>
          <w:lang w:val="en-US" w:eastAsia="en-US" w:bidi="en-US"/>
        </w:rPr>
        <w:t>: O parcelamento não é ponto verificado usualmente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4: </w:t>
      </w:r>
      <w:r>
        <w:rPr>
          <w:rFonts w:ascii="Liberation Serif" w:hAnsi="Liberation Serif" w:eastAsia="Segoe UI"/>
          <w:i/>
          <w:iCs/>
          <w:color w:val="000000"/>
          <w:lang w:val="en-US" w:eastAsia="en-US" w:bidi="en-US"/>
        </w:rPr>
        <w:t xml:space="preserve">Em contratação de itens de valor correspondente a até R$ 80.000,00 deve ser garantida a participação exclusiva de Microempresa e Empresa de Pequeno Porte (ME e EPP), conforme </w:t>
      </w:r>
      <w:r>
        <w:fldChar w:fldCharType="begin"/>
      </w:r>
      <w:r>
        <w:instrText> HYPERLINK "http://www.planalto.gov.br/ccivil_03/Leis/LCP/Lcp123.htm" \l "art48"</w:instrText>
      </w:r>
      <w:r>
        <w:fldChar w:fldCharType="separate"/>
      </w:r>
      <w:r>
        <w:rPr>
          <w:rFonts w:ascii="Liberation Serif" w:hAnsi="Liberation Serif" w:eastAsia="Segoe UI"/>
          <w:i/>
          <w:iCs/>
          <w:color w:val="000000"/>
          <w:lang w:val="en-US" w:eastAsia="en-US" w:bidi="en-US"/>
        </w:rPr>
        <w:t>artigo 48, inciso I, da Lei Complementar nº 123, de 14 de dezembro de 2006</w:t>
      </w:r>
      <w:r>
        <w:fldChar w:fldCharType="end"/>
      </w:r>
      <w:r>
        <w:rPr>
          <w:rFonts w:ascii="Liberation Serif" w:hAnsi="Liberation Serif" w:eastAsia="Segoe UI"/>
          <w:i/>
          <w:iCs/>
          <w:color w:val="000000"/>
          <w:lang w:val="en-US" w:eastAsia="en-US" w:bidi="en-US"/>
        </w:rPr>
        <w:t xml:space="preserve">, e </w:t>
      </w:r>
      <w:r>
        <w:fldChar w:fldCharType="begin"/>
      </w:r>
      <w:r>
        <w:instrText> HYPERLINK "http://www.planalto.gov.br/ccivil_03/_Ato2015-2018/2015/Decreto/D8538.htm" \l "art6"</w:instrText>
      </w:r>
      <w:r>
        <w:fldChar w:fldCharType="separate"/>
      </w:r>
      <w:r>
        <w:rPr>
          <w:rFonts w:ascii="Liberation Serif" w:hAnsi="Liberation Serif" w:eastAsia="Segoe UI"/>
          <w:i/>
          <w:iCs/>
          <w:color w:val="000000"/>
          <w:lang w:val="en-US" w:eastAsia="en-US" w:bidi="en-US"/>
        </w:rPr>
        <w:t>artigo 6º do Decreto nº 8.538, de 06 de outubro de 2015).</w:t>
      </w:r>
      <w:r>
        <w:fldChar w:fldCharType="end"/>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5:</w:t>
      </w:r>
      <w:r>
        <w:rPr>
          <w:rFonts w:ascii="Liberation Serif" w:hAnsi="Liberation Serif" w:eastAsia="Segoe UI"/>
          <w:i/>
          <w:iCs/>
          <w:color w:val="000000"/>
          <w:lang w:val="en-US" w:eastAsia="en-US" w:bidi="en-US"/>
        </w:rPr>
        <w:t xml:space="preserve"> Building Information Modelling – BIM: O Decreto nº 10.306/2020 trata da utilização do Building Information Modelling (BIM) na execução direta ou indireta de obras e serviços de engenharia realizados pelos órgãos e pelas entidades da administração pública federal, conforme Estratégia BIM BR, instituída pelo Decreto nº 9.983, de 22 de agosto de 2019.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r>
        <w:rPr>
          <w:rFonts w:ascii="Liberation Serif" w:hAnsi="Liberation Serif" w:eastAsia="Segoe UI"/>
          <w:i/>
          <w:iCs/>
          <w:color w:val="000000"/>
          <w:lang w:val="en-US" w:eastAsia="en-US" w:bidi="en-US"/>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contratual, será preferencialmente adotada a Modelagem da Informação da Construção (Building Information Modelling - BIM) ou tecnologias e processos integrados similares ou mais avançados que venham a substituí-la.</w:t>
      </w:r>
    </w:p>
  </w:comment>
  <w:comment w:id="2" w:author="Autor" w:date="0-00-00T00:00:00Z" w:initials="A">
    <w:p>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Sobre a natureza do objeto, deve-se ter em mente o disposto na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 </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Deve a Administração atentar para as definições de bens comuns e especiais, constantes do art. 6º, incisos XIII e XIV, da Lei n.º 14.133, de 2021, respectivamente. </w:t>
      </w:r>
    </w:p>
  </w:comment>
  <w:comment w:id="3" w:author="Autor" w:date="0-00-00T00:00:00Z" w:initials="A">
    <w:p>
      <w:r>
        <w:rPr>
          <w:rFonts w:ascii="Liberation Serif" w:hAnsi="Liberation Serif" w:eastAsia="Segoe UI"/>
          <w:b/>
          <w:bCs/>
          <w:i/>
          <w:iCs/>
          <w:color w:val="000000"/>
          <w:lang w:val="en-US" w:eastAsia="en-US" w:bidi="en-US"/>
        </w:rPr>
        <w:t xml:space="preserve">Nota Explicativa: Vedação quanto à aquisição de itens de luxo - </w:t>
      </w:r>
      <w:r>
        <w:rPr>
          <w:rFonts w:ascii="Liberation Serif" w:hAnsi="Liberation Serif" w:eastAsia="Segoe UI"/>
          <w:i/>
          <w:iCs/>
          <w:color w:val="000000"/>
          <w:lang w:val="en-US" w:eastAsia="en-US" w:bidi="en-US"/>
        </w:rPr>
        <w:t xml:space="preserve">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 </w:t>
      </w:r>
    </w:p>
  </w:comment>
  <w:comment w:id="4" w:author="Autor" w:date="0-00-00T00:00:00Z" w:initials="A">
    <w:p>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5" w:author="Autor" w:date="0-00-00T00:00:00Z" w:initials="A">
    <w:p>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Artigo 18, §1º, da Lei nº 14.133, de 2021, contém a seguinte redação: </w:t>
      </w:r>
    </w:p>
    <w:p>
      <w:r>
        <w:rPr>
          <w:rFonts w:ascii="Liberation Serif" w:hAnsi="Liberation Serif" w:eastAsia="Segoe UI"/>
          <w:i/>
          <w:iCs/>
          <w:color w:val="000000"/>
          <w:lang w:val="en-US" w:eastAsia="en-US" w:bidi="en-US"/>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r>
        <w:rPr>
          <w:rFonts w:ascii="Liberation Serif" w:hAnsi="Liberation Serif" w:eastAsia="Segoe UI"/>
          <w:i/>
          <w:iCs/>
          <w:color w:val="000000"/>
          <w:lang w:val="en-US" w:eastAsia="en-US" w:bidi="en-US"/>
        </w:rPr>
        <w:t>Ver também Instrução Normativa SEGES/ME nº 58, de 08 de agosto de 2022 (ETP), art. 3º, inciso I e art. 6º.</w:t>
      </w:r>
    </w:p>
    <w:p>
      <w:r>
        <w:rPr>
          <w:rFonts w:ascii="Liberation Serif" w:hAnsi="Liberation Serif" w:eastAsia="Segoe UI"/>
          <w:i/>
          <w:iCs/>
          <w:color w:val="000000"/>
          <w:lang w:val="en-US" w:eastAsia="en-US" w:bidi="en-US"/>
        </w:rPr>
        <w:t>Caso haja a necessidade de modificação da descrição em relação à originalmente feita nos estudos técnicos preliminares, recomenda-se o dispositivo 3.1, para que passe a contemplar essa alteração.</w:t>
      </w:r>
    </w:p>
    <w:p>
      <w:r>
        <w:rPr>
          <w:rFonts w:ascii="Liberation Serif" w:hAnsi="Liberation Serif" w:eastAsia="Segoe UI"/>
          <w:i/>
          <w:iCs/>
          <w:color w:val="000000"/>
          <w:lang w:val="en-US" w:eastAsia="en-US" w:bidi="en-US"/>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3: </w:t>
      </w:r>
      <w:r>
        <w:rPr>
          <w:rFonts w:ascii="Liberation Serif" w:hAnsi="Liberation Serif" w:eastAsia="Segoe UI"/>
          <w:i/>
          <w:iCs/>
          <w:color w:val="000000"/>
          <w:lang w:val="en-US" w:eastAsia="en-US" w:bidi="en-US"/>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4: </w:t>
      </w:r>
      <w:r>
        <w:rPr>
          <w:rFonts w:ascii="Liberation Serif" w:hAnsi="Liberation Serif" w:eastAsia="Segoe UI"/>
          <w:i/>
          <w:iCs/>
          <w:color w:val="000000"/>
          <w:lang w:val="en-US" w:eastAsia="en-US" w:bidi="en-US"/>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rFonts w:ascii="Liberation Serif" w:hAnsi="Liberation Serif" w:eastAsia="Segoe UI"/>
          <w:b/>
          <w:bCs/>
          <w:i/>
          <w:iCs/>
          <w:color w:val="000000"/>
          <w:lang w:val="en-US" w:eastAsia="en-US" w:bidi="en-US"/>
        </w:rPr>
        <w:t>Reitere-se: se a descrição contida no ETP não contiver esse ponto, deve ser complementada neste TR</w:t>
      </w:r>
      <w:r>
        <w:rPr>
          <w:rFonts w:ascii="Liberation Serif" w:hAnsi="Liberation Serif" w:eastAsia="Segoe UI"/>
          <w:i/>
          <w:iCs/>
          <w:color w:val="000000"/>
          <w:lang w:val="en-US" w:eastAsia="en-US" w:bidi="en-US"/>
        </w:rPr>
        <w:t>.</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5:</w:t>
      </w:r>
      <w:r>
        <w:rPr>
          <w:rFonts w:ascii="Liberation Serif" w:hAnsi="Liberation Serif" w:eastAsia="Segoe UI"/>
          <w:i/>
          <w:iCs/>
          <w:color w:val="000000"/>
          <w:lang w:val="en-US" w:eastAsia="en-US" w:bidi="en-US"/>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
        <w:r>
          <w:rPr>
            <w:rFonts w:ascii="Liberation Serif" w:hAnsi="Liberation Serif" w:eastAsia="Segoe UI"/>
            <w:i/>
            <w:iCs/>
            <w:color w:val="000000"/>
            <w:lang w:val="en-US" w:eastAsia="en-US" w:bidi="en-US"/>
          </w:rPr>
          <w:t>catálogo eletrônico de padronização</w:t>
        </w:r>
      </w:hyperlink>
      <w:r>
        <w:rPr>
          <w:rFonts w:ascii="Liberation Serif" w:hAnsi="Liberation Serif" w:eastAsia="Segoe UI"/>
          <w:i/>
          <w:iCs/>
          <w:color w:val="000000"/>
          <w:lang w:val="en-US" w:eastAsia="en-US" w:bidi="en-US"/>
        </w:rPr>
        <w:t>, o qual deverá ser consultado para verificar se a contratação almejada está contemplada em seus termos. Em existindo padronização aprovada, ela deve ser considerada e eventual não-uso justificado nos autos.</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6: </w:t>
      </w:r>
      <w:r>
        <w:rPr>
          <w:rFonts w:ascii="Liberation Serif" w:hAnsi="Liberation Serif" w:eastAsia="Segoe UI"/>
          <w:i/>
          <w:iCs/>
          <w:color w:val="000000"/>
          <w:lang w:val="en-US" w:eastAsia="en-US" w:bidi="en-US"/>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r>
          <w:rPr>
            <w:rFonts w:ascii="Liberation Serif" w:hAnsi="Liberation Serif" w:eastAsia="Segoe UI"/>
            <w:i/>
            <w:iCs/>
            <w:color w:val="000000"/>
            <w:lang w:val="en-US" w:eastAsia="en-US" w:bidi="en-US"/>
          </w:rPr>
          <w:t>Guia Nacional de Contratações Sustentáveis da AGU</w:t>
        </w:r>
      </w:hyperlink>
      <w:r>
        <w:rPr>
          <w:rFonts w:ascii="Liberation Serif" w:hAnsi="Liberation Serif" w:eastAsia="Segoe UI"/>
          <w:i/>
          <w:iCs/>
          <w:color w:val="000000"/>
          <w:lang w:val="en-US" w:eastAsia="en-US" w:bidi="en-US"/>
        </w:rPr>
        <w:t xml:space="preserve"> para tal fim. Caso o Estudo Técnico Preliminar seja silente ou insuficiente a esse respeito, recomenda-se abrir tópico específico nesta seção sobre a matéria.</w:t>
      </w:r>
    </w:p>
    <w:p>
      <w:r>
        <w:rPr>
          <w:rFonts w:ascii="Liberation Serif" w:hAnsi="Liberation Serif" w:eastAsia="Segoe UI"/>
          <w:i/>
          <w:iCs/>
          <w:color w:val="000000"/>
          <w:lang w:val="en-US" w:eastAsia="en-US" w:bidi="en-US"/>
        </w:rPr>
        <w:t>Vale registrar que a sustentabilidade pode incidir a partir de características do próprio objeto a ser contratado como também de outros modos, compilados no tópico “requisitos da contratação”, abaixo.</w:t>
      </w:r>
    </w:p>
  </w:comment>
  <w:comment w:id="6" w:author="Autor" w:date="0-00-00T00:00:00Z" w:initials="A">
    <w:p>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Os requisitos da contratação deverão ser registrados nos Sistemas TR DIGITAL E ETP DIGITAL, nos term</w:t>
      </w:r>
      <w:r>
        <w:rPr>
          <w:rFonts w:ascii="Liberation Serif" w:hAnsi="Liberation Serif" w:eastAsia="Segoe UI"/>
          <w:i/>
          <w:iCs/>
          <w:lang w:val="en-US" w:eastAsia="en-US" w:bidi="en-US"/>
        </w:rPr>
        <w:t xml:space="preserve">os do </w:t>
      </w:r>
      <w:r>
        <w:fldChar w:fldCharType="begin"/>
      </w:r>
      <w:r>
        <w:instrText> HYPERLINK "https://www.in.gov.br/en/web/dou/-/instrucao-normativa-cgnor/me-n-81-de-25-de-novembro-de-2022-446388890" \l "art9"</w:instrText>
      </w:r>
      <w:r>
        <w:fldChar w:fldCharType="separate"/>
      </w:r>
      <w:r>
        <w:rPr>
          <w:rFonts w:ascii="Liberation Serif" w:hAnsi="Liberation Serif" w:eastAsia="Segoe UI"/>
          <w:i/>
          <w:iCs/>
          <w:lang w:val="en-US" w:eastAsia="en-US" w:bidi="en-US"/>
        </w:rPr>
        <w:t>art. 9º, inciso IV da IN Seges/ME nº 81, de 2022</w:t>
      </w:r>
      <w:r>
        <w:fldChar w:fldCharType="end"/>
      </w:r>
      <w:r>
        <w:rPr>
          <w:rFonts w:ascii="Liberation Serif" w:hAnsi="Liberation Serif" w:eastAsia="Segoe UI"/>
          <w:i/>
          <w:iCs/>
          <w:lang w:val="en-US" w:eastAsia="en-US" w:bidi="en-US"/>
        </w:rPr>
        <w:t xml:space="preserve"> e </w:t>
      </w:r>
      <w:r>
        <w:fldChar w:fldCharType="begin"/>
      </w:r>
      <w:r>
        <w:instrText> HYPERLINK "https://www.in.gov.br/en/web/dou/-/instrucao-normativa-seges-n-58-de-8-de-agosto-de-2022-421221597" \l "art9"</w:instrText>
      </w:r>
      <w:r>
        <w:fldChar w:fldCharType="separate"/>
      </w:r>
      <w:r>
        <w:rPr>
          <w:rFonts w:ascii="Liberation Serif" w:hAnsi="Liberation Serif" w:eastAsia="Segoe UI"/>
          <w:i/>
          <w:iCs/>
          <w:lang w:val="en-US" w:eastAsia="en-US" w:bidi="en-US"/>
        </w:rPr>
        <w:t>art. 9º, inciso II, da Instrução Normativa Seges/ME nº 58, de 2022.</w:t>
      </w:r>
      <w:r>
        <w:fldChar w:fldCharType="end"/>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rFonts w:ascii="Liberation Serif" w:hAnsi="Liberation Serif" w:eastAsia="Segoe UI"/>
          <w:i/>
          <w:iCs/>
          <w:lang w:val="en-US" w:eastAsia="en-US" w:bidi="en-US"/>
        </w:rPr>
        <w:t>de tópico específico neste TR (CRITÉRIOS DE SELEÇÃO DO FORNECEDOR) de modo que sua inclusão aqui seria redundante.</w:t>
      </w:r>
    </w:p>
  </w:comment>
  <w:comment w:id="7" w:author="Autor" w:date="0-00-00T00:00:00Z" w:initials="A">
    <w:p>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Não se admite a exigência de subcontratação para o fornecimento de bens, exceto quando estiver vinculado à prestação de serviços acessórios. Observe-se, ainda, que é vedada a subcontratação completa ou da parcela principal da obrigação.</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A subcontratação deve ser avaliada à luz do </w:t>
      </w:r>
      <w:hyperlink r:id="rId3">
        <w:r>
          <w:rPr>
            <w:rFonts w:ascii="Liberation Serif" w:hAnsi="Liberation Serif" w:eastAsia="Segoe UI"/>
            <w:i/>
            <w:iCs/>
            <w:color w:val="000000"/>
            <w:lang w:val="en-US" w:eastAsia="en-US" w:bidi="en-US"/>
          </w:rPr>
          <w:t>artigo 122 da Lei nº 14.133, de 2021</w:t>
        </w:r>
      </w:hyperlink>
      <w:r>
        <w:rPr>
          <w:rFonts w:ascii="Liberation Serif" w:hAnsi="Liberation Serif" w:eastAsia="Segoe UI"/>
          <w:i/>
          <w:iCs/>
          <w:color w:val="000000"/>
          <w:lang w:val="en-US" w:eastAsia="en-US" w:bidi="en-US"/>
        </w:rPr>
        <w:t>:</w:t>
      </w:r>
    </w:p>
    <w:p>
      <w:r>
        <w:rPr>
          <w:rFonts w:ascii="Liberation Serif" w:hAnsi="Liberation Serif" w:eastAsia="Segoe UI"/>
          <w:i/>
          <w:iCs/>
          <w:color w:val="000000"/>
          <w:lang w:val="en-US" w:eastAsia="en-US" w:bidi="en-US"/>
        </w:rPr>
        <w:t>“Art. 122. Na execução do contrato e sem prejuízo das responsabilidades contratuais e legais, o contratado poderá subcontratar partes da obra, do serviço ou do fornecimento até o limite autorizado, em cada caso, pela Administração.</w:t>
      </w:r>
    </w:p>
    <w:p>
      <w:r>
        <w:rPr>
          <w:rFonts w:ascii="Liberation Serif" w:hAnsi="Liberation Serif" w:eastAsia="Segoe UI"/>
          <w:i/>
          <w:iCs/>
          <w:color w:val="000000"/>
          <w:lang w:val="en-US" w:eastAsia="en-US" w:bidi="en-US"/>
        </w:rPr>
        <w:t>§ 1º O contratado apresentará à Administração documentação que comprove a capacidade técnica do subcontratado, que será avaliada e juntada aos autos do processo correspondente.</w:t>
      </w:r>
    </w:p>
    <w:p>
      <w:r>
        <w:rPr>
          <w:rFonts w:ascii="Liberation Serif" w:hAnsi="Liberation Serif" w:eastAsia="Segoe UI"/>
          <w:i/>
          <w:iCs/>
          <w:color w:val="000000"/>
          <w:lang w:val="en-US" w:eastAsia="en-US" w:bidi="en-US"/>
        </w:rPr>
        <w:t>§ 2º Regulamento ou edital de licitação poderão vedar, restringir ou estabelecer condições para a subcontratação.</w:t>
      </w:r>
    </w:p>
    <w:p>
      <w:r>
        <w:rPr>
          <w:rFonts w:ascii="Liberation Serif" w:hAnsi="Liberation Serif" w:eastAsia="Segoe UI"/>
          <w:i/>
          <w:iCs/>
          <w:color w:val="000000"/>
          <w:lang w:val="en-US" w:eastAsia="en-US" w:bidi="en-US"/>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8" w:author="Autor" w:date="0-00-00T00:00:00Z" w:initials="A">
    <w:p>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Havendo a necessidade de inclusão de outras especificações técnicas quanto à subcontratação, deverão ser inseridas nestes itens.</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p>
      <w:r>
        <w:rPr>
          <w:rFonts w:ascii="Liberation Serif" w:hAnsi="Liberation Serif" w:eastAsia="Segoe UI"/>
          <w:lang w:val="en-US" w:eastAsia="en-US" w:bidi="en-US"/>
        </w:rPr>
      </w:r>
    </w:p>
    <w:p>
      <w:r>
        <w:rPr>
          <w:rFonts w:ascii="Liberation Serif" w:hAnsi="Liberation Serif" w:eastAsia="Segoe UI"/>
          <w:b/>
          <w:bCs/>
          <w:i/>
          <w:iCs/>
          <w:lang w:val="en-US" w:eastAsia="en-US" w:bidi="en-US"/>
        </w:rPr>
        <w:t>Nota Explicativa 3:</w:t>
      </w:r>
      <w:r>
        <w:rPr>
          <w:rFonts w:ascii="Liberation Serif" w:hAnsi="Liberation Serif" w:eastAsia="Segoe UI"/>
          <w:i/>
          <w:iCs/>
          <w:lang w:val="en-US" w:eastAsia="en-US" w:bidi="en-US"/>
        </w:rPr>
        <w:t xml:space="preserve"> Nas contratações para aquisição de bens vinculada à prestação de serviços acessórios, é possível à Administração exigir do futuro contratado a subcontratação de microempresas ou empresas de pequeno porte, nos termos do art. 48, inciso II, da Lei Complementar n. 123, de 2006, e do art. 7º, do Decreto n.º 8.538, de 2015. Nesse caso, recomenda-se a inclusão, neste item do Termo de Referência, das disposições a seguir: </w:t>
      </w:r>
    </w:p>
    <w:p>
      <w:r>
        <w:rPr>
          <w:rFonts w:ascii="Liberation Serif" w:hAnsi="Liberation Serif" w:eastAsia="Segoe UI"/>
          <w:lang w:val="en-US" w:eastAsia="en-US" w:bidi="en-US"/>
        </w:rPr>
      </w:r>
    </w:p>
    <w:p>
      <w:r>
        <w:rPr>
          <w:rFonts w:ascii="Liberation Serif" w:hAnsi="Liberation Serif" w:eastAsia="Segoe UI"/>
          <w:i/>
          <w:iCs/>
          <w:lang w:val="en-US" w:eastAsia="en-US" w:bidi="en-US"/>
        </w:rPr>
        <w:t>4.24.Deverá haver subcontratação de microempresas ou empresas de pequeno porte (art. 48, II, da Lei Complementar n. 123, de 2006, e art. 7º, do Decreto n.º 8.538, de 2015), com observância das seguintes disposições específicas:</w:t>
      </w:r>
    </w:p>
    <w:p>
      <w:r>
        <w:rPr>
          <w:rFonts w:ascii="Liberation Serif" w:hAnsi="Liberation Serif" w:eastAsia="Segoe UI"/>
          <w:lang w:val="en-US" w:eastAsia="en-US" w:bidi="en-US"/>
        </w:rPr>
      </w:r>
    </w:p>
    <w:p>
      <w:r>
        <w:rPr>
          <w:rFonts w:ascii="Liberation Serif" w:hAnsi="Liberation Serif" w:eastAsia="Segoe UI"/>
          <w:i/>
          <w:iCs/>
          <w:lang w:val="en-US" w:eastAsia="en-US" w:bidi="en-US"/>
        </w:rPr>
        <w:t xml:space="preserve">4.25.A subcontratação deverá observar o percentual mínimo de </w:t>
      </w:r>
      <w:r>
        <w:rPr>
          <w:rFonts w:ascii="Liberation Serif" w:hAnsi="Liberation Serif" w:eastAsia="Segoe UI"/>
          <w:i/>
          <w:iCs/>
          <w:color w:val="FF0000"/>
          <w:lang w:val="en-US" w:eastAsia="en-US" w:bidi="en-US"/>
        </w:rPr>
        <w:t xml:space="preserve">XX% (xxxxx por cento) </w:t>
      </w:r>
      <w:r>
        <w:rPr>
          <w:rFonts w:ascii="Liberation Serif" w:hAnsi="Liberation Serif" w:eastAsia="Segoe UI"/>
          <w:i/>
          <w:iCs/>
          <w:lang w:val="en-US" w:eastAsia="en-US" w:bidi="en-US"/>
        </w:rPr>
        <w:t xml:space="preserve">e o máximo de </w:t>
      </w:r>
      <w:r>
        <w:rPr>
          <w:rFonts w:ascii="Liberation Serif" w:hAnsi="Liberation Serif" w:eastAsia="Segoe UI"/>
          <w:i/>
          <w:iCs/>
          <w:color w:val="FF0000"/>
          <w:lang w:val="en-US" w:eastAsia="en-US" w:bidi="en-US"/>
        </w:rPr>
        <w:t>XX% (xxxxx por cento)</w:t>
      </w:r>
      <w:r>
        <w:rPr>
          <w:rFonts w:ascii="Liberation Serif" w:hAnsi="Liberation Serif" w:eastAsia="Segoe UI"/>
          <w:i/>
          <w:iCs/>
          <w:lang w:val="en-US" w:eastAsia="en-US" w:bidi="en-US"/>
        </w:rPr>
        <w:t xml:space="preserve"> do valor da contratação, abrangendo as seguintes parcelas do objeto:</w:t>
      </w:r>
    </w:p>
    <w:p>
      <w:r>
        <w:rPr>
          <w:rFonts w:ascii="Liberation Serif" w:hAnsi="Liberation Serif" w:eastAsia="Segoe UI"/>
          <w:i/>
          <w:iCs/>
          <w:lang w:val="en-US" w:eastAsia="en-US" w:bidi="en-US"/>
        </w:rPr>
        <w:t xml:space="preserve">    4.25.1</w:t>
      </w:r>
      <w:r>
        <w:rPr>
          <w:rFonts w:ascii="Liberation Serif" w:hAnsi="Liberation Serif" w:eastAsia="Segoe UI"/>
          <w:i/>
          <w:iCs/>
          <w:color w:val="FF0000"/>
          <w:lang w:val="en-US" w:eastAsia="en-US" w:bidi="en-US"/>
        </w:rPr>
        <w:t>[...];</w:t>
      </w:r>
      <w:r>
        <w:rPr>
          <w:rFonts w:ascii="Liberation Serif" w:hAnsi="Liberation Serif" w:eastAsia="Segoe UI"/>
          <w:i/>
          <w:iCs/>
          <w:lang w:val="en-US" w:eastAsia="en-US" w:bidi="en-US"/>
        </w:rPr>
        <w:t xml:space="preserve"> e</w:t>
      </w:r>
    </w:p>
    <w:p>
      <w:r>
        <w:rPr>
          <w:rFonts w:ascii="Liberation Serif" w:hAnsi="Liberation Serif" w:eastAsia="Segoe UI"/>
          <w:i/>
          <w:iCs/>
          <w:lang w:val="en-US" w:eastAsia="en-US" w:bidi="en-US"/>
        </w:rPr>
        <w:t xml:space="preserve">    4.25.2</w:t>
      </w:r>
      <w:r>
        <w:rPr>
          <w:rFonts w:ascii="Liberation Serif" w:hAnsi="Liberation Serif" w:eastAsia="Segoe UI"/>
          <w:i/>
          <w:iCs/>
          <w:color w:val="FF0000"/>
          <w:lang w:val="en-US" w:eastAsia="en-US" w:bidi="en-US"/>
        </w:rPr>
        <w:t>[...].</w:t>
      </w:r>
    </w:p>
    <w:p>
      <w:r>
        <w:rPr>
          <w:rFonts w:ascii="Liberation Serif" w:hAnsi="Liberation Serif" w:eastAsia="Segoe UI"/>
          <w:lang w:val="en-US" w:eastAsia="en-US" w:bidi="en-US"/>
        </w:rPr>
      </w:r>
    </w:p>
    <w:p>
      <w:r>
        <w:rPr>
          <w:rFonts w:ascii="Liberation Serif" w:hAnsi="Liberation Serif" w:eastAsia="Segoe UI"/>
          <w:i/>
          <w:iCs/>
          <w:lang w:val="en-US" w:eastAsia="en-US" w:bidi="en-US"/>
        </w:rPr>
        <w:t>4.26.O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r>
        <w:rPr>
          <w:rFonts w:ascii="Liberation Serif" w:hAnsi="Liberation Serif" w:eastAsia="Segoe UI"/>
          <w:lang w:val="en-US" w:eastAsia="en-US" w:bidi="en-US"/>
        </w:rPr>
      </w:r>
    </w:p>
    <w:p>
      <w:r>
        <w:rPr>
          <w:rFonts w:ascii="Liberation Serif" w:hAnsi="Liberation Serif" w:eastAsia="Segoe UI"/>
          <w:i/>
          <w:iCs/>
          <w:lang w:val="en-US" w:eastAsia="en-US" w:bidi="en-US"/>
        </w:rPr>
        <w:t>4.27.O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r>
        <w:rPr>
          <w:rFonts w:ascii="Liberation Serif" w:hAnsi="Liberation Serif" w:eastAsia="Segoe UI"/>
          <w:lang w:val="en-US" w:eastAsia="en-US" w:bidi="en-US"/>
        </w:rPr>
      </w:r>
    </w:p>
    <w:p>
      <w:r>
        <w:rPr>
          <w:rFonts w:ascii="Liberation Serif" w:hAnsi="Liberation Serif" w:eastAsia="Segoe UI"/>
          <w:i/>
          <w:iCs/>
          <w:lang w:val="en-US" w:eastAsia="en-US" w:bidi="en-US"/>
        </w:rPr>
        <w:t>4.28.O Contratado será responsável pela padronização, pela compatibilidade, pelo gerenciamento centralizado e pela qualidade da subcontratação.</w:t>
      </w:r>
    </w:p>
    <w:p>
      <w:r>
        <w:rPr>
          <w:rFonts w:ascii="Liberation Serif" w:hAnsi="Liberation Serif" w:eastAsia="Segoe UI"/>
          <w:lang w:val="en-US" w:eastAsia="en-US" w:bidi="en-US"/>
        </w:rPr>
      </w:r>
    </w:p>
    <w:p>
      <w:r>
        <w:rPr>
          <w:rFonts w:ascii="Liberation Serif" w:hAnsi="Liberation Serif" w:eastAsia="Segoe UI"/>
          <w:i/>
          <w:iCs/>
          <w:lang w:val="en-US" w:eastAsia="en-US" w:bidi="en-US"/>
        </w:rPr>
        <w:t>4.29.Os empenhos e pagamentos referentes às parcelas subcontratadas serão destinados diretamente às microempresas e empresas de pequeno porte subcontratadas.</w:t>
      </w:r>
    </w:p>
  </w:comment>
  <w:comment w:id="9" w:author="Autor" w:date="0-00-00T00:00:00Z" w:initials="A">
    <w:p>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lang w:val="en-US" w:eastAsia="en-US" w:bidi="en-US"/>
        </w:rPr>
        <w:t xml:space="preserve">Neste momento, a área técnica competente deverá indicar se será, ou não, exigida a garantia de execução do objeto para a contratação. </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O percentual da garantia será de: </w:t>
      </w:r>
    </w:p>
    <w:p>
      <w:r>
        <w:rPr>
          <w:rFonts w:ascii="Liberation Serif" w:hAnsi="Liberation Serif" w:eastAsia="Segoe UI"/>
          <w:i/>
          <w:iCs/>
          <w:color w:val="000000"/>
          <w:lang w:val="en-US" w:eastAsia="en-US" w:bidi="en-US"/>
        </w:rPr>
        <w:t>a) até 5% (cinco por cento) do valor inicial do contrato, para contratações em geral, conforme art. 98 da Lei nº 14.133, de 2021; </w:t>
      </w:r>
    </w:p>
    <w:p>
      <w:r>
        <w:rPr>
          <w:rFonts w:ascii="Liberation Serif" w:hAnsi="Liberation Serif" w:eastAsia="Segoe UI"/>
          <w:i/>
          <w:iCs/>
          <w:color w:val="000000"/>
          <w:lang w:val="en-US" w:eastAsia="en-US" w:bidi="en-US"/>
        </w:rPr>
        <w:t>b) até 10% (dez por cento) do valor inicial do contrato, nos casos de alta complexidade técnica e riscos envolvidos, caso em que deverá haver justificativa específica nos autos, conforme art. 98 da Lei nº 14.133, de 2021; </w:t>
      </w:r>
    </w:p>
    <w:p>
      <w:r>
        <w:rPr>
          <w:rFonts w:ascii="Liberation Serif" w:hAnsi="Liberation Serif" w:eastAsia="Segoe UI"/>
          <w:i/>
          <w:iCs/>
          <w:color w:val="000000"/>
          <w:lang w:val="en-US" w:eastAsia="en-US" w:bidi="en-US"/>
        </w:rPr>
        <w:t>c) deverá ser acrescido de garantia adicional aos percentuais citados anteriormente, em casos de previsão de antecipação de pagamento, nos termos do art. 145, § 2º, da Lei nº 14.133, de 2021. </w:t>
      </w:r>
    </w:p>
    <w:p>
      <w:r>
        <w:rPr>
          <w:rFonts w:ascii="Liberation Serif" w:hAnsi="Liberation Serif" w:eastAsia="Segoe UI"/>
          <w:i/>
          <w:iCs/>
          <w:color w:val="000000"/>
          <w:lang w:val="en-US" w:eastAsia="en-US" w:bidi="en-US"/>
        </w:rPr>
        <w:t>d) nos casos de contratos que impliquem a entrega de bens pela Administração, dos quais o contratado ficará depositário, o valor desses bens deverá ser acrescido ao valor da garantia calculado de acordo com os itens anteriores. </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3:</w:t>
      </w:r>
      <w:r>
        <w:rPr>
          <w:rFonts w:ascii="Liberation Serif" w:hAnsi="Liberation Serif" w:eastAsia="Segoe UI"/>
          <w:i/>
          <w:iCs/>
          <w:color w:val="000000"/>
          <w:lang w:val="en-US" w:eastAsia="en-US" w:bidi="en-US"/>
        </w:rPr>
        <w:t xml:space="preserve"> Nos casos de fornecimentos contínuos com duração até um ano, a garantia será calculada com base no valor total do contrato. Se de duração superior a um ano, o será com base no valor anual. Nos demais casos (serviços ou fornecimentos não-contínuos), o será com base no valor inicial.</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4:</w:t>
      </w:r>
      <w:r>
        <w:rPr>
          <w:rFonts w:ascii="Liberation Serif" w:hAnsi="Liberation Serif" w:eastAsia="Segoe UI"/>
          <w:i/>
          <w:iCs/>
          <w:color w:val="000000"/>
          <w:lang w:val="en-US" w:eastAsia="en-US" w:bidi="en-US"/>
        </w:rPr>
        <w:t xml:space="preserve"> O art. 96, §1º, da Lei nº 14.133, de 2021, estabelece as modalidades de garantia da execução contratual, que incluem caução, seguro-garantia, fiança bancária e título de capitalização. A escolha entre essas quatro modalidades de garantia é uma prerrogativa do contratado. </w:t>
      </w:r>
    </w:p>
    <w:p>
      <w:r>
        <w:rPr>
          <w:rFonts w:ascii="Liberation Serif" w:hAnsi="Liberation Serif" w:eastAsia="Segoe UI"/>
          <w:i/>
          <w:iCs/>
          <w:lang w:val="en-US" w:eastAsia="en-US" w:bidi="en-US"/>
        </w:rPr>
        <w:t xml:space="preserve">Para a modalidade de seguro-garantia, o §3º do art. 96 da Lei nº 14.133, de 2021, impõe que a prestação da garantia ocorra antes da assinatura do contrato, no prazo mínimo de um mês, a ser estabelecido em </w:t>
      </w:r>
      <w:r>
        <w:rPr>
          <w:rFonts w:ascii="Liberation Serif" w:hAnsi="Liberation Serif" w:eastAsia="Segoe UI"/>
          <w:lang w:val="en-US" w:eastAsia="en-US" w:bidi="en-US"/>
        </w:rPr>
        <w:t>edital,  contado</w:t>
      </w:r>
      <w:r>
        <w:rPr>
          <w:rFonts w:ascii="Liberation Serif" w:hAnsi="Liberation Serif" w:eastAsia="Segoe UI"/>
          <w:i/>
          <w:iCs/>
          <w:lang w:val="en-US" w:eastAsia="en-US" w:bidi="en-US"/>
        </w:rPr>
        <w:t xml:space="preserve"> da homologação da licitação. A mesma regra deverá ser aplicada, por analogia, às contratações diretas precedidas de dispensa eletrônica. </w:t>
      </w:r>
    </w:p>
    <w:p>
      <w:r>
        <w:rPr>
          <w:rFonts w:ascii="Liberation Serif" w:hAnsi="Liberation Serif" w:eastAsia="Segoe UI"/>
          <w:i/>
          <w:iCs/>
          <w:color w:val="000000"/>
          <w:lang w:val="en-US" w:eastAsia="en-US" w:bidi="en-US"/>
        </w:rPr>
        <w:t>Para as demais modalidades, prevalece o disposto no item 3.1, alínea “a”, do Anexo VII-F, da Instrução Normativa SEGES/MP nº 05, de 2017, que fixa o prazo de 10 dias, prorrogáveis por igual período, a critério do órgão contratante, contado da assinatura do contrato para prestação da garantia. </w:t>
      </w:r>
    </w:p>
  </w:comment>
  <w:comment w:id="10" w:author="Autor" w:date="0-00-00T00:00:00Z" w:initials="A">
    <w:p>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Este item deve ser adaptado de acordo com as necessidades específicas do órgão ou entidade, apresentando-se, este modelo, de forma meramente exemplificativa.</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lang w:val="en-US" w:eastAsia="en-US" w:bidi="en-US"/>
        </w:rPr>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r>
        <w:rPr>
          <w:rFonts w:ascii="Liberation Serif" w:hAnsi="Liberation Serif" w:eastAsia="Segoe UI"/>
          <w:lang w:val="en-US" w:eastAsia="en-US" w:bidi="en-US"/>
        </w:rPr>
      </w:r>
    </w:p>
    <w:p>
      <w:r>
        <w:rPr>
          <w:rFonts w:ascii="Liberation Serif" w:hAnsi="Liberation Serif" w:eastAsia="Segoe UI"/>
          <w:lang w:val="en-US" w:eastAsia="en-US" w:bidi="en-US"/>
        </w:rPr>
        <w:t xml:space="preserve">Nota explicativa 3: A Administração deverá atentar, quando for o caso, para a existência de regulamentações específicas relativas a determinados serviços, no que tange à respectiva metodologia de execução, como se passa, por exemplo, em relação aos serviços de limpeza e vigilância, que possuem cadernos de logística próprios. </w:t>
      </w:r>
    </w:p>
  </w:comment>
  <w:comment w:id="11" w:author="Autor" w:date="0-00-00T00:00:00Z" w:initials="A">
    <w:p>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 xml:space="preserve">Os gestores e fiscais do contrato serão designados pela autoridade máxima do órgão ou da entidade, ou a quem as normas de organização administrativa indicarem, na forma do </w:t>
      </w:r>
      <w:r>
        <w:fldChar w:fldCharType="begin"/>
      </w:r>
      <w:r>
        <w:instrText> HYPERLINK "http://www.planalto.gov.br/ccivil_03/_ato2019-2022/2021/lei/L14133.htm" \l "art7"</w:instrText>
      </w:r>
      <w:r>
        <w:fldChar w:fldCharType="separate"/>
      </w:r>
      <w:r>
        <w:rPr>
          <w:rFonts w:ascii="Liberation Serif" w:hAnsi="Liberation Serif" w:eastAsia="Segoe UI"/>
          <w:i/>
          <w:iCs/>
          <w:color w:val="000000"/>
          <w:lang w:val="en-US" w:eastAsia="en-US" w:bidi="en-US"/>
        </w:rPr>
        <w:t>art. 7º da Lei nº 14.133, de 2021</w:t>
      </w:r>
      <w:r>
        <w:fldChar w:fldCharType="end"/>
      </w:r>
      <w:r>
        <w:rPr>
          <w:rFonts w:ascii="Liberation Serif" w:hAnsi="Liberation Serif" w:eastAsia="Segoe UI"/>
          <w:i/>
          <w:iCs/>
          <w:color w:val="000000"/>
          <w:lang w:val="en-US" w:eastAsia="en-US" w:bidi="en-US"/>
        </w:rPr>
        <w:t xml:space="preserve">, e </w:t>
      </w:r>
      <w:hyperlink r:id="rId4">
        <w:r>
          <w:rPr>
            <w:rFonts w:ascii="Liberation Serif" w:hAnsi="Liberation Serif" w:eastAsia="Segoe UI"/>
            <w:i/>
            <w:iCs/>
            <w:color w:val="000000"/>
            <w:lang w:val="en-US" w:eastAsia="en-US" w:bidi="en-US"/>
          </w:rPr>
          <w:t>art. 8º do Decreto nº 11.246, de 2022</w:t>
        </w:r>
      </w:hyperlink>
      <w:r>
        <w:rPr>
          <w:rFonts w:ascii="Liberation Serif" w:hAnsi="Liberation Serif" w:eastAsia="Segoe UI"/>
          <w:i/>
          <w:iCs/>
          <w:color w:val="000000"/>
          <w:lang w:val="en-US" w:eastAsia="en-US" w:bidi="en-US"/>
        </w:rPr>
        <w:t>, devendo a Administração instruir os autos com as publicações dos atos de designação dos agentes públicos para o exercício dessas funções.</w:t>
      </w:r>
    </w:p>
  </w:comment>
  <w:comment w:id="12" w:author="Autor" w:date="0-00-00T00:00:00Z" w:initials="A">
    <w:p>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xml:space="preserve"> 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comment>
  <w:comment w:id="13" w:author="Autor" w:date="0-00-00T00:00:00Z" w:initials="A">
    <w:p>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O art. 7º, inciso I, </w:t>
      </w:r>
      <w:hyperlink r:id="rId5">
        <w:r>
          <w:rPr>
            <w:rFonts w:ascii="Liberation Serif" w:hAnsi="Liberation Serif" w:eastAsia="Segoe UI"/>
            <w:i/>
            <w:iCs/>
            <w:color w:val="000000"/>
            <w:lang w:val="en-US" w:eastAsia="en-US" w:bidi="en-US"/>
          </w:rPr>
          <w:t>da Instrução Normativa SEGES/ME nº 77, de 4 de novembro de 2022</w:t>
        </w:r>
      </w:hyperlink>
      <w:r>
        <w:rPr>
          <w:rFonts w:ascii="Liberation Serif" w:hAnsi="Liberation Serif" w:eastAsia="Segoe UI"/>
          <w:i/>
          <w:iCs/>
          <w:color w:val="000000"/>
          <w:lang w:val="en-US" w:eastAsia="en-US" w:bidi="en-US"/>
        </w:rPr>
        <w:t xml:space="preserve">, estabelece o prazo de 10 (dez dias) úteis para a liquidação da despesa, </w:t>
      </w:r>
      <w:r>
        <w:rPr>
          <w:rFonts w:ascii="Liberation Serif" w:hAnsi="Liberation Serif" w:eastAsia="Segoe UI"/>
          <w:b/>
          <w:bCs/>
          <w:i/>
          <w:iCs/>
          <w:color w:val="000000"/>
          <w:lang w:val="en-US" w:eastAsia="en-US" w:bidi="en-US"/>
        </w:rPr>
        <w:t xml:space="preserve">a contar do recebimento da nota fiscal ou instrumento de cobrança equivalente </w:t>
      </w:r>
      <w:r>
        <w:rPr>
          <w:rFonts w:ascii="Liberation Serif" w:hAnsi="Liberation Serif" w:eastAsia="Segoe UI"/>
          <w:i/>
          <w:iCs/>
          <w:color w:val="000000"/>
          <w:lang w:val="en-US" w:eastAsia="en-US" w:bidi="en-US"/>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rFonts w:ascii="Liberation Serif" w:hAnsi="Liberation Serif" w:eastAsia="Segoe UI"/>
          <w:b/>
          <w:bCs/>
          <w:i/>
          <w:iCs/>
          <w:color w:val="000000"/>
          <w:lang w:val="en-US" w:eastAsia="en-US" w:bidi="en-US"/>
        </w:rPr>
        <w:t>o prazo máximo de 10 dias úteis deverá ser suficiente para as providências de recebimentos provisório, definitivo e de liquidação</w:t>
      </w:r>
      <w:r>
        <w:rPr>
          <w:rFonts w:ascii="Liberation Serif" w:hAnsi="Liberation Serif" w:eastAsia="Segoe UI"/>
          <w:i/>
          <w:iCs/>
          <w:color w:val="000000"/>
          <w:lang w:val="en-US" w:eastAsia="en-US" w:bidi="en-US"/>
        </w:rPr>
        <w:t xml:space="preserve">. Assim, embora a </w:t>
      </w:r>
      <w:hyperlink r:id="rId6">
        <w:r>
          <w:rPr>
            <w:rFonts w:ascii="Liberation Serif" w:hAnsi="Liberation Serif" w:eastAsia="Segoe UI"/>
            <w:i/>
            <w:iCs/>
            <w:color w:val="000000"/>
            <w:lang w:val="en-US" w:eastAsia="en-US" w:bidi="en-US"/>
          </w:rPr>
          <w:t>Lei nº 14.133/21</w:t>
        </w:r>
      </w:hyperlink>
      <w:r>
        <w:rPr>
          <w:rFonts w:ascii="Liberation Serif" w:hAnsi="Liberation Serif" w:eastAsia="Segoe UI"/>
          <w:i/>
          <w:iCs/>
          <w:color w:val="000000"/>
          <w:lang w:val="en-US" w:eastAsia="en-US" w:bidi="en-US"/>
        </w:rPr>
        <w:t xml:space="preserve"> não fixe prazo máximo de recebimento definitivo, este prazo deverá ser inferior ao fixado para liquidação de despesa pela </w:t>
      </w:r>
      <w:hyperlink r:id="rId7">
        <w:r>
          <w:rPr>
            <w:rFonts w:ascii="Liberation Serif" w:hAnsi="Liberation Serif" w:eastAsia="Segoe UI"/>
            <w:i/>
            <w:iCs/>
            <w:color w:val="000000"/>
            <w:lang w:val="en-US" w:eastAsia="en-US" w:bidi="en-US"/>
          </w:rPr>
          <w:t>IN SEGES/ME nº 77, de 2022</w:t>
        </w:r>
      </w:hyperlink>
      <w:r>
        <w:rPr>
          <w:rFonts w:ascii="Liberation Serif" w:hAnsi="Liberation Serif" w:eastAsia="Segoe UI"/>
          <w:i/>
          <w:iCs/>
          <w:color w:val="000000"/>
          <w:lang w:val="en-US" w:eastAsia="en-US" w:bidi="en-US"/>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14" w:author="Autor" w:date="0-00-00T00:00:00Z" w:initials="A">
    <w:p>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 xml:space="preserve">Observar que o artigo 7º, §2º, </w:t>
      </w:r>
      <w:hyperlink r:id="rId8">
        <w:r>
          <w:rPr>
            <w:rFonts w:ascii="Liberation Serif" w:hAnsi="Liberation Serif" w:eastAsia="Segoe UI"/>
            <w:i/>
            <w:iCs/>
            <w:color w:val="000000"/>
            <w:lang w:val="en-US" w:eastAsia="en-US" w:bidi="en-US"/>
          </w:rPr>
          <w:t>da Instrução Normativa nº 77, de 2022</w:t>
        </w:r>
      </w:hyperlink>
      <w:r>
        <w:rPr>
          <w:rFonts w:ascii="Liberation Serif" w:hAnsi="Liberation Serif" w:eastAsia="Segoe UI"/>
          <w:i/>
          <w:iCs/>
          <w:color w:val="000000"/>
          <w:lang w:val="en-US" w:eastAsia="en-US" w:bidi="en-US"/>
        </w:rPr>
        <w:t xml:space="preserve">, prevê que “Para as contratações decorrentes de despesas cujos valores não ultrapassem o limite de que trata o inciso II do </w:t>
      </w:r>
      <w:hyperlink r:id="rId9">
        <w:r>
          <w:rPr>
            <w:rFonts w:ascii="Liberation Serif" w:hAnsi="Liberation Serif" w:eastAsia="Segoe UI"/>
            <w:i/>
            <w:iCs/>
            <w:color w:val="000000"/>
            <w:lang w:val="en-US" w:eastAsia="en-US" w:bidi="en-US"/>
          </w:rPr>
          <w:t>art. 75 da Lei nº 14.133, de 2021</w:t>
        </w:r>
      </w:hyperlink>
      <w:r>
        <w:rPr>
          <w:rFonts w:ascii="Liberation Serif" w:hAnsi="Liberation Serif" w:eastAsia="Segoe UI"/>
          <w:i/>
          <w:iCs/>
          <w:color w:val="000000"/>
          <w:lang w:val="en-US" w:eastAsia="en-US" w:bidi="en-US"/>
        </w:rPr>
        <w:t xml:space="preserve">, os prazos de que dos incisos I e II do caput </w:t>
      </w:r>
      <w:r>
        <w:rPr>
          <w:rFonts w:ascii="Liberation Serif" w:hAnsi="Liberation Serif" w:eastAsia="Segoe UI"/>
          <w:b/>
          <w:bCs/>
          <w:i/>
          <w:iCs/>
          <w:color w:val="000000"/>
          <w:lang w:val="en-US" w:eastAsia="en-US" w:bidi="en-US"/>
        </w:rPr>
        <w:t>serão reduzidos pela metade</w:t>
      </w:r>
      <w:r>
        <w:rPr>
          <w:rFonts w:ascii="Liberation Serif" w:hAnsi="Liberation Serif" w:eastAsia="Segoe UI"/>
          <w:i/>
          <w:iCs/>
          <w:color w:val="000000"/>
          <w:lang w:val="en-US" w:eastAsia="en-US" w:bidi="en-US"/>
        </w:rPr>
        <w:t>.” (g.n). Como o prazo máximo de liquidação será reduzido pela metade, então o prazo de recebimento também deverá ser ajustado.</w:t>
      </w:r>
    </w:p>
  </w:comment>
  <w:comment w:id="15" w:author="Autor" w:date="0-00-00T00:00:00Z" w:initials="A">
    <w:p>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Deverá a Administração indicar o índice de preços a ser utilizado para a atualização monetária do valor devido ao contratado.</w:t>
      </w:r>
    </w:p>
  </w:comment>
  <w:comment w:id="16" w:author="Autor" w:date="0-00-00T00:00:00Z" w:initials="A">
    <w:p>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17" w:author="Autor" w:date="0-00-00T00:00:00Z" w:initials="A">
    <w:p>
      <w:r>
        <w:rPr>
          <w:rFonts w:ascii="Liberation Serif" w:hAnsi="Liberation Serif" w:eastAsia="Segoe UI"/>
          <w:b/>
          <w:bCs/>
          <w:i/>
          <w:iCs/>
          <w:lang w:val="en-US" w:eastAsia="en-US" w:bidi="en-US"/>
        </w:rPr>
        <w:t xml:space="preserve">Nota Explicativa: </w:t>
      </w:r>
      <w:r>
        <w:rPr>
          <w:rFonts w:ascii="Liberation Serif" w:hAnsi="Liberation Serif" w:eastAsia="Segoe UI"/>
          <w:i/>
          <w:iCs/>
          <w:lang w:val="en-US" w:eastAsia="en-US" w:bidi="en-US"/>
        </w:rPr>
        <w:t>A previsão da admissibilidade da cessão de credito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r>
        <w:rPr>
          <w:rFonts w:ascii="Liberation Serif" w:hAnsi="Liberation Serif" w:eastAsia="Segoe UI"/>
          <w:i/>
          <w:iCs/>
          <w:lang w:val="en-US" w:eastAsia="en-US" w:bidi="en-U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r>
        <w:rPr>
          <w:rFonts w:ascii="Liberation Serif" w:hAnsi="Liberation Serif" w:eastAsia="Segoe UI"/>
          <w:lang w:val="en-US" w:eastAsia="en-US" w:bidi="en-US"/>
        </w:rPr>
      </w:r>
    </w:p>
    <w:p>
      <w:r>
        <w:rPr>
          <w:rFonts w:ascii="Liberation Serif" w:hAnsi="Liberation Serif" w:eastAsia="Segoe UI"/>
          <w:i/>
          <w:iCs/>
          <w:lang w:val="en-US" w:eastAsia="en-US" w:bidi="en-US"/>
        </w:rPr>
        <w:t>Por essa razão, tendo ou não a clausula, a cessão é admitida. Recomenda-se manter a disposição em razão das regras previstas no Parecer JL-01/2020, salvo se a cláusula for modificada para que conste uma vedação à cessão de crédito.</w:t>
      </w:r>
    </w:p>
  </w:comment>
  <w:comment w:id="18" w:author="Autor" w:date="0-00-00T00:00:00Z" w:initials="A">
    <w:p>
      <w:r>
        <w:rPr>
          <w:rFonts w:ascii="Liberation Serif" w:hAnsi="Liberation Serif" w:eastAsia="Segoe UI"/>
          <w:b/>
          <w:bCs/>
          <w:lang w:val="en-US" w:eastAsia="en-US" w:bidi="en-US"/>
        </w:rPr>
        <w:t xml:space="preserve">Nota Explicativa: </w:t>
      </w:r>
      <w:r>
        <w:rPr>
          <w:rFonts w:ascii="Liberation Serif" w:hAnsi="Liberation Serif" w:eastAsia="Segoe UI"/>
          <w:lang w:val="en-US" w:eastAsia="en-US" w:bidi="en-US"/>
        </w:rPr>
        <w:t>No caso desse subitem, o órgão contratante pode optar por mudar a redação para já vedar de plano as cessões de crédito</w:t>
      </w:r>
    </w:p>
  </w:comment>
  <w:comment w:id="19" w:author="Autor" w:date="0-00-00T00:00:00Z" w:initials="A">
    <w:p>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Os condicionamentos desses subitens decorrem das conclusões do Parecer JL-01, de 18 de maio de 2020.</w:t>
      </w:r>
    </w:p>
  </w:comment>
  <w:comment w:id="20" w:author="Autor" w:date="0-00-00T00:00:00Z" w:initials="A">
    <w:p>
      <w:r>
        <w:rPr>
          <w:rFonts w:ascii="Liberation Serif" w:hAnsi="Liberation Serif" w:eastAsia="Segoe UI"/>
          <w:lang w:val="en-US" w:eastAsia="en-US" w:bidi="en-US"/>
        </w:rPr>
        <w:t>A Instrução Normativa SEGES/MGI nº 82/2025 enquadrou o AntecipaGov como uma operação de crédito comum. Não mais como uma cessão de crédito.</w:t>
      </w:r>
    </w:p>
    <w:p>
      <w:r>
        <w:rPr>
          <w:rFonts w:ascii="Liberation Serif" w:hAnsi="Liberation Serif" w:eastAsia="Segoe UI"/>
          <w:lang w:val="en-US" w:eastAsia="en-US" w:bidi="en-US"/>
        </w:rPr>
      </w:r>
    </w:p>
    <w:p>
      <w:r>
        <w:rPr>
          <w:rFonts w:ascii="Liberation Serif" w:hAnsi="Liberation Serif" w:eastAsia="Segoe UI"/>
          <w:lang w:val="en-US" w:eastAsia="en-US" w:bidi="en-US"/>
        </w:rPr>
        <w:t xml:space="preserve">Uma mudança de entendimento correta, já que, pelo funcionamento do sistema, o pagamento à contratada é perfectibilizado, já que feito em conta de sua titularidade, sem qualquer cessão de crédito. </w:t>
      </w:r>
    </w:p>
    <w:p>
      <w:r>
        <w:rPr>
          <w:rFonts w:ascii="Liberation Serif" w:hAnsi="Liberation Serif" w:eastAsia="Segoe UI"/>
          <w:lang w:val="en-US" w:eastAsia="en-US" w:bidi="en-US"/>
        </w:rPr>
      </w:r>
    </w:p>
    <w:p>
      <w:r>
        <w:rPr>
          <w:rFonts w:ascii="Liberation Serif" w:hAnsi="Liberation Serif" w:eastAsia="Segoe UI"/>
          <w:lang w:val="en-US" w:eastAsia="en-US" w:bidi="en-US"/>
        </w:rPr>
        <w:t>Mesmo se houver a necessidade de "resgate" pela instituição financeira dos valores depositados nessa conta, como esta é do contratado, não é uma cessao de crédito, de haveres futuros, mas sim uma simples transferência pelo contratado à instituição financeira. O Antecipagov possibilita que se coloque como garantia, em operações de credito, o valor recebido a título de pagamentos contratuais, mas não haveres futuros, já que o pagamento ainda é feito à contratada e não à instituição financeira.</w:t>
      </w:r>
    </w:p>
    <w:p>
      <w:r>
        <w:rPr>
          <w:rFonts w:ascii="Liberation Serif" w:hAnsi="Liberation Serif" w:eastAsia="Segoe UI"/>
          <w:lang w:val="en-US" w:eastAsia="en-US" w:bidi="en-US"/>
        </w:rPr>
      </w:r>
    </w:p>
    <w:p>
      <w:r>
        <w:rPr>
          <w:rFonts w:ascii="Liberation Serif" w:hAnsi="Liberation Serif" w:eastAsia="Segoe UI"/>
          <w:lang w:val="en-US" w:eastAsia="en-US" w:bidi="en-US"/>
        </w:rPr>
        <w:t>Não sendo, portanto, uma cessão de crédito, nem mesmo fiduciária, a operação não é regulada pelo Parecer JL-01, de 2020 ou por esta seção. Nesse sentido, a própria Instrução Normativa dispõe que "A ausência de previsão expressa no contrato ou no termo de referência não impede a realização</w:t>
      </w:r>
    </w:p>
    <w:p>
      <w:r>
        <w:rPr>
          <w:rFonts w:ascii="Liberation Serif" w:hAnsi="Liberation Serif" w:eastAsia="Segoe UI"/>
          <w:lang w:val="en-US" w:eastAsia="en-US" w:bidi="en-US"/>
        </w:rPr>
        <w:t xml:space="preserve"> de operação de crédito no Portal AntecipaGov".</w:t>
      </w:r>
    </w:p>
  </w:comment>
  <w:comment w:id="22" w:author="Autor" w:date="0-00-00T00:00:00Z" w:initials="A">
    <w:p>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rFonts w:ascii="Liberation Serif" w:hAnsi="Liberation Serif" w:eastAsia="Segoe UI"/>
          <w:b/>
          <w:bCs/>
          <w:i/>
          <w:iCs/>
          <w:lang w:val="en-US" w:eastAsia="en-US" w:bidi="en-US"/>
        </w:rPr>
        <w:t xml:space="preserve"> sua concessão ex officio pela Administração deve ser a regra,</w:t>
      </w:r>
      <w:r>
        <w:rPr>
          <w:rFonts w:ascii="Liberation Serif" w:hAnsi="Liberation Serif" w:eastAsia="Segoe UI"/>
          <w:i/>
          <w:iCs/>
          <w:lang w:val="en-US" w:eastAsia="en-US" w:bidi="en-US"/>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rFonts w:ascii="Liberation Serif" w:hAnsi="Liberation Serif" w:eastAsia="Segoe UI"/>
          <w:b/>
          <w:bCs/>
          <w:i/>
          <w:iCs/>
          <w:lang w:val="en-US" w:eastAsia="en-US" w:bidi="en-US"/>
        </w:rPr>
        <w:t>desde que cumulativamente:</w:t>
      </w:r>
      <w:r>
        <w:rPr>
          <w:rFonts w:ascii="Liberation Serif" w:hAnsi="Liberation Serif" w:eastAsia="Segoe UI"/>
          <w:i/>
          <w:iCs/>
          <w:lang w:val="en-US" w:eastAsia="en-US" w:bidi="en-US"/>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rFonts w:ascii="Liberation Serif" w:hAnsi="Liberation Serif" w:eastAsia="Segoe UI"/>
          <w:b/>
          <w:bCs/>
          <w:i/>
          <w:iCs/>
          <w:lang w:val="en-US" w:eastAsia="en-US" w:bidi="en-US"/>
        </w:rPr>
        <w:t>motivação idônea</w:t>
      </w:r>
      <w:r>
        <w:rPr>
          <w:rFonts w:ascii="Liberation Serif" w:hAnsi="Liberation Serif" w:eastAsia="Segoe UI"/>
          <w:i/>
          <w:iCs/>
          <w:lang w:val="en-US" w:eastAsia="en-US" w:bidi="en-US"/>
        </w:rPr>
        <w:t xml:space="preserve"> nos autos do processo administrativo, promovendo as respectivas adequações na cláusula sétima da minuta de termo de contrato. </w:t>
      </w:r>
    </w:p>
  </w:comment>
  <w:comment w:id="21" w:author="Autor" w:date="0-00-00T00:00:00Z" w:initials="A">
    <w:p>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 xml:space="preserve">A Administração poderá, ainda, utilizar índices diferenciados, inclusive mais de um, de forma justificada, de acordo com as peculiaridades envolvidas no objeto contratual (art. 25, § 7º, da Lei n.º 14.133, de 2021). Caso haja a utilização de mais de um índice, deverá a Administração ajustar a redação da cláusula de modo a especificar o insumo respectivo sobre o qual incidirá cada índice de correção. </w:t>
      </w:r>
    </w:p>
  </w:comment>
  <w:comment w:id="23" w:author="Autor" w:date="0-00-00T00:00:00Z" w:initials="A">
    <w:p>
      <w:r>
        <w:rPr>
          <w:rFonts w:ascii="Liberation Serif" w:hAnsi="Liberation Serif" w:eastAsia="Segoe UI"/>
          <w:b/>
          <w:bCs/>
          <w:i/>
          <w:iCs/>
          <w:lang w:val="en-US" w:eastAsia="en-US" w:bidi="en-US"/>
        </w:rPr>
        <w:t xml:space="preserve">Nota Explicativa 1: </w:t>
      </w:r>
      <w:r>
        <w:rPr>
          <w:rFonts w:ascii="Liberation Serif" w:hAnsi="Liberation Serif" w:eastAsia="Segoe UI"/>
          <w:i/>
          <w:iCs/>
          <w:lang w:val="en-US" w:eastAsia="en-US" w:bidi="en-US"/>
        </w:rPr>
        <w:t>Para o caso de contratação direta, adequar o título da subseção e registrar a justificativa para a dispensa ou inexigibilidade de licitação.</w:t>
      </w:r>
    </w:p>
    <w:p>
      <w:r>
        <w:rPr>
          <w:rFonts w:ascii="Liberation Serif" w:hAnsi="Liberation Serif" w:eastAsia="Segoe UI"/>
          <w:lang w:val="en-US" w:eastAsia="en-US" w:bidi="en-US"/>
        </w:rPr>
      </w:r>
    </w:p>
    <w:p>
      <w:r>
        <w:rPr>
          <w:rFonts w:ascii="Liberation Serif" w:hAnsi="Liberation Serif" w:eastAsia="Segoe UI"/>
          <w:b/>
          <w:bCs/>
          <w:i/>
          <w:iCs/>
          <w:lang w:val="en-US" w:eastAsia="en-US" w:bidi="en-US"/>
        </w:rPr>
        <w:t>Nota Explicativa 2:</w:t>
      </w:r>
      <w:r>
        <w:rPr>
          <w:rFonts w:ascii="Liberation Serif" w:hAnsi="Liberation Serif" w:eastAsia="Segoe UI"/>
          <w:i/>
          <w:iCs/>
          <w:lang w:val="en-US" w:eastAsia="en-US" w:bidi="en-US"/>
        </w:rPr>
        <w:t xml:space="preserve"> A Lei n.º 14.133, de 2021, ao contrário da Lei n.º 8.666, de 1993, não define as modalidades de licitação em razão do valor do objeto, mas, sim, em razão de sua natureza ou complexidade. Assim, enquanto o pregão é a modalidade de licitação obrigatória para aquisição de bens e serviços comuns (art. 6º, inciso XLI, c/c art. 29), exclusivamente pelos critérios de julgamento de menor preço ou maior desconto, a concorrência é a modalidade cabível para a contratação de bens e serviços especiais e de obras e serviços comuns e especiais de engenharia (art. 6º, inciso XXXVIII, c/c o art. 29), pelos critérios de menor preço, melhor técnica ou conteúdo artístico, técnica e preço, maior retorno econômico e maior desconto. A Administração deverá atentar para o regramento legal e definir a modalidade de licitação e o critério de julgamento a serem adotados, conforme a natureza do objeto e suas especificidades. </w:t>
      </w:r>
    </w:p>
  </w:comment>
  <w:comment w:id="24" w:author="Autor" w:date="0-00-00T00:00:00Z" w:initials="A">
    <w:p>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 xml:space="preserve">Pesquisa de Preços - A estimativa de preços deve ser precedida de regular pesquisa, nos moldes do </w:t>
      </w:r>
      <w:hyperlink r:id="rId10">
        <w:r>
          <w:rPr>
            <w:rFonts w:ascii="Liberation Serif" w:hAnsi="Liberation Serif" w:eastAsia="Segoe UI"/>
            <w:i/>
            <w:iCs/>
            <w:color w:val="000000"/>
            <w:lang w:val="en-US" w:eastAsia="en-US" w:bidi="en-US"/>
          </w:rPr>
          <w:t>art. 23 da Lei nº 14.133, de 2021</w:t>
        </w:r>
      </w:hyperlink>
      <w:r>
        <w:rPr>
          <w:rFonts w:ascii="Liberation Serif" w:hAnsi="Liberation Serif" w:eastAsia="Segoe UI"/>
          <w:i/>
          <w:iCs/>
          <w:color w:val="000000"/>
          <w:lang w:val="en-US" w:eastAsia="en-US" w:bidi="en-US"/>
        </w:rPr>
        <w:t xml:space="preserve">, e da </w:t>
      </w:r>
      <w:hyperlink r:id="rId11">
        <w:r>
          <w:rPr>
            <w:rFonts w:ascii="Liberation Serif" w:hAnsi="Liberation Serif" w:eastAsia="Segoe UI"/>
            <w:i/>
            <w:iCs/>
            <w:color w:val="000000"/>
            <w:lang w:val="en-US" w:eastAsia="en-US" w:bidi="en-US"/>
          </w:rPr>
          <w:t>Instrução Normativa SEGES/ME nº 65, de 7 de julho 2021.</w:t>
        </w:r>
      </w:hyperlink>
    </w:p>
    <w:p>
      <w:r>
        <w:rPr>
          <w:rFonts w:ascii="Liberation Serif" w:hAnsi="Liberation Serif" w:eastAsia="Segoe UI"/>
          <w:lang w:val="en-US" w:eastAsia="en-US" w:bidi="en-US"/>
        </w:rPr>
      </w:r>
    </w:p>
    <w:p>
      <w:r>
        <w:rPr>
          <w:rFonts w:ascii="Liberation Serif" w:hAnsi="Liberation Serif" w:eastAsia="Segoe UI"/>
          <w:b/>
          <w:bCs/>
          <w:i/>
          <w:iCs/>
          <w:lang w:val="en-US" w:eastAsia="en-US" w:bidi="en-US"/>
        </w:rPr>
        <w:t>Nota Explicativa 2:</w:t>
      </w:r>
      <w:r>
        <w:rPr>
          <w:rFonts w:ascii="Liberation Serif" w:hAnsi="Liberation Serif" w:eastAsia="Segoe UI"/>
          <w:i/>
          <w:iCs/>
          <w:lang w:val="en-US" w:eastAsia="en-US" w:bidi="en-US"/>
        </w:rPr>
        <w:t xml:space="preserve"> Os preços unitários referenciais, as memórias de cálculo e os documentos que lhe dão suporte, com os parâmetros utilizados para a obtenção dos preços e para os respectivos cálculos, devem constar de anexo ao termo de referência,</w:t>
      </w:r>
      <w:r>
        <w:rPr>
          <w:rFonts w:ascii="Liberation Serif" w:hAnsi="Liberation Serif" w:eastAsia="Segoe UI"/>
          <w:i/>
          <w:iCs/>
          <w:color w:val="FF0000"/>
          <w:lang w:val="en-US" w:eastAsia="en-US" w:bidi="en-US"/>
        </w:rPr>
        <w:t xml:space="preserve"> </w:t>
      </w:r>
      <w:r>
        <w:rPr>
          <w:rFonts w:ascii="Liberation Serif" w:hAnsi="Liberation Serif" w:eastAsia="Segoe UI"/>
          <w:i/>
          <w:iCs/>
          <w:lang w:val="en-US" w:eastAsia="en-US" w:bidi="en-US"/>
        </w:rPr>
        <w:t xml:space="preserve">nos termos do </w:t>
      </w:r>
      <w:hyperlink r:id="rId12">
        <w:r>
          <w:rPr>
            <w:rFonts w:ascii="Liberation Serif" w:hAnsi="Liberation Serif" w:eastAsia="Segoe UI"/>
            <w:i/>
            <w:iCs/>
            <w:lang w:val="en-US" w:eastAsia="en-US" w:bidi="en-US"/>
          </w:rPr>
          <w:t>art. 9º, IX, da Instrução Normativa Seges/ME nº 81, de 2022</w:t>
        </w:r>
      </w:hyperlink>
      <w:r>
        <w:rPr>
          <w:rFonts w:ascii="Liberation Serif" w:hAnsi="Liberation Serif" w:eastAsia="Segoe UI"/>
          <w:i/>
          <w:iCs/>
          <w:lang w:val="en-US" w:eastAsia="en-US" w:bidi="en-US"/>
        </w:rPr>
        <w:t xml:space="preserve">. Caso a Administração opte por preservar o sigilo da estimativa do valor da contratação, também deverá ser preservado o sigilo desse anexo. </w:t>
      </w:r>
    </w:p>
    <w:p>
      <w:r>
        <w:rPr>
          <w:rFonts w:ascii="Liberation Serif" w:hAnsi="Liberation Serif" w:eastAsia="Segoe UI"/>
          <w:lang w:val="en-US" w:eastAsia="en-US" w:bidi="en-US"/>
        </w:rPr>
      </w:r>
    </w:p>
    <w:p>
      <w:r>
        <w:rPr>
          <w:rFonts w:ascii="Liberation Serif" w:hAnsi="Liberation Serif" w:eastAsia="Segoe UI"/>
          <w:b/>
          <w:bCs/>
          <w:i/>
          <w:iCs/>
          <w:lang w:val="en-US" w:eastAsia="en-US" w:bidi="en-US"/>
        </w:rPr>
        <w:t xml:space="preserve">Nota Explicativa 3: </w:t>
      </w:r>
      <w:r>
        <w:rPr>
          <w:rFonts w:ascii="Liberation Serif" w:hAnsi="Liberation Serif" w:eastAsia="Segoe UI"/>
          <w:i/>
          <w:iCs/>
          <w:lang w:val="en-US" w:eastAsia="en-US" w:bidi="en-US"/>
        </w:rPr>
        <w:t>Utilizar esta redação na hipótese em que for adotado o critério de julgamento por menor preço, sem caráter sigiloso.</w:t>
      </w:r>
    </w:p>
  </w:comment>
  <w:comment w:id="25" w:author="Autor" w:date="0-00-00T00:00:00Z" w:initials="A">
    <w:p>
      <w:r>
        <w:rPr>
          <w:rFonts w:ascii="Liberation Serif" w:hAnsi="Liberation Serif" w:eastAsia="Segoe UI"/>
          <w:lang w:val="en-US" w:eastAsia="en-US" w:bidi="en-US"/>
        </w:rPr>
        <w:t>Nota Explicativa: Segundo o art. 7º, §§ 4º e 5º, da Instrução Normativa SEGES/ME n.º 65, de 2021, na hipótese de dispensa de licitação com base nos incisos I e II do art. 75 da Lei nº 14.133, de 2021 (contratações de pequeno valor), a estimativa de preços da contratação poderá ser realizada concomitantemente à seleção da proposta economicamente mais vantajosa, por meio de solicitação formal de cotações a fornecedores.</w:t>
      </w:r>
    </w:p>
  </w:comment>
  <w:comment w:id="26" w:author="Autor" w:date="0-00-00T00:00:00Z" w:initials="A">
    <w:p>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 xml:space="preserve"> Utilizar essa redação na hipótese em que for adotado o critério de julgamento por menor preço e caso a Administração opte por preservar a sua estimativa do valor da contratação. Na hipótese em que for adotado o critério de julgamento por maior desconto, o preço estimado ou o máximo aceitável </w:t>
      </w:r>
      <w:r>
        <w:rPr>
          <w:rFonts w:ascii="Liberation Serif" w:hAnsi="Liberation Serif" w:eastAsia="Segoe UI"/>
          <w:b/>
          <w:bCs/>
          <w:i/>
          <w:iCs/>
          <w:color w:val="000000"/>
          <w:u w:val="single"/>
          <w:lang w:val="en-US" w:eastAsia="en-US" w:bidi="en-US"/>
        </w:rPr>
        <w:t>não</w:t>
      </w:r>
      <w:r>
        <w:rPr>
          <w:rFonts w:ascii="Liberation Serif" w:hAnsi="Liberation Serif" w:eastAsia="Segoe UI"/>
          <w:i/>
          <w:iCs/>
          <w:color w:val="000000"/>
          <w:lang w:val="en-US" w:eastAsia="en-US" w:bidi="en-US"/>
        </w:rPr>
        <w:t xml:space="preserve"> poderá ser sigiloso (</w:t>
      </w:r>
      <w:r>
        <w:fldChar w:fldCharType="begin"/>
      </w:r>
      <w:r>
        <w:instrText> HYPERLINK "http://www.planalto.gov.br/ccivil_03/_ato2019-2022/2021/lei/L14133.htm" \l "art24"</w:instrText>
      </w:r>
      <w:r>
        <w:fldChar w:fldCharType="separate"/>
      </w:r>
      <w:r>
        <w:rPr>
          <w:rFonts w:ascii="Liberation Serif" w:hAnsi="Liberation Serif" w:eastAsia="Segoe UI"/>
          <w:i/>
          <w:iCs/>
          <w:color w:val="000000"/>
          <w:lang w:val="en-US" w:eastAsia="en-US" w:bidi="en-US"/>
        </w:rPr>
        <w:t>art. 24, parágrafo único, da Lei nº 14.133, de 2021</w:t>
      </w:r>
      <w:r>
        <w:fldChar w:fldCharType="end"/>
      </w:r>
      <w:r>
        <w:rPr>
          <w:rFonts w:ascii="Liberation Serif" w:hAnsi="Liberation Serif" w:eastAsia="Segoe UI"/>
          <w:i/>
          <w:iCs/>
          <w:color w:val="000000"/>
          <w:lang w:val="en-US" w:eastAsia="en-US" w:bidi="en-US"/>
        </w:rPr>
        <w:t xml:space="preserve">, e </w:t>
      </w:r>
      <w:hyperlink r:id="rId13">
        <w:r>
          <w:rPr>
            <w:rFonts w:ascii="Liberation Serif" w:hAnsi="Liberation Serif" w:eastAsia="Segoe UI"/>
            <w:i/>
            <w:iCs/>
            <w:color w:val="000000"/>
            <w:lang w:val="en-US" w:eastAsia="en-US" w:bidi="en-US"/>
          </w:rPr>
          <w:t>Instrução Normativa Seges/ME nº 73, de 2022, art. 12, §3º</w:t>
        </w:r>
      </w:hyperlink>
      <w:r>
        <w:rPr>
          <w:rFonts w:ascii="Liberation Serif" w:hAnsi="Liberation Serif" w:eastAsia="Segoe UI"/>
          <w:i/>
          <w:iCs/>
          <w:color w:val="000000"/>
          <w:lang w:val="en-US" w:eastAsia="en-US" w:bidi="en-US"/>
        </w:rPr>
        <w:t>)</w:t>
      </w:r>
    </w:p>
  </w:comment>
  <w:comment w:id="27" w:author="Autor" w:date="0-00-00T00:00:00Z" w:initials="A">
    <w:p>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xml:space="preserve"> </w:t>
      </w:r>
      <w:r>
        <w:rPr>
          <w:rFonts w:ascii="Liberation Serif" w:hAnsi="Liberation Serif" w:eastAsia="Segoe UI"/>
          <w:i/>
          <w:iCs/>
          <w:color w:val="000000"/>
          <w:lang w:val="en-US" w:eastAsia="en-US" w:bidi="en-US"/>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28" w:author="Autor" w:date="0-00-00T00:00:00Z" w:initials="A">
    <w:p>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Conforme </w:t>
      </w:r>
      <w:r>
        <w:fldChar w:fldCharType="begin"/>
      </w:r>
      <w:r>
        <w:instrText> HYPERLINK "https://www.gov.br/compras/pt-br/acesso-a-informacao/legislacao/instrucoes-normativas/instrucao-normativa-seges-me-no-81-de-25-de-novembro-de-2022" \l "art8"</w:instrText>
      </w:r>
      <w:r>
        <w:fldChar w:fldCharType="separate"/>
      </w:r>
      <w:r>
        <w:rPr>
          <w:rFonts w:ascii="Liberation Serif" w:hAnsi="Liberation Serif" w:eastAsia="Segoe UI"/>
          <w:i/>
          <w:iCs/>
          <w:color w:val="000000"/>
          <w:lang w:val="en-US" w:eastAsia="en-US" w:bidi="en-US"/>
        </w:rPr>
        <w:t>art. 8º da IN Seges/ME nº 81, de 2022</w:t>
      </w:r>
      <w:r>
        <w:fldChar w:fldCharType="end"/>
      </w:r>
      <w:r>
        <w:rPr>
          <w:rFonts w:ascii="Liberation Serif" w:hAnsi="Liberation Serif" w:eastAsia="Segoe UI"/>
          <w:i/>
          <w:iCs/>
          <w:color w:val="000000"/>
          <w:lang w:val="en-US" w:eastAsia="en-US" w:bidi="en-US"/>
        </w:rPr>
        <w:t xml:space="preserve">, incumbe, conjuntamente, aos servidores da área técnica e da requisitante, designados na forma do </w:t>
      </w:r>
      <w:hyperlink r:id="rId14">
        <w:r>
          <w:rPr>
            <w:rFonts w:ascii="Liberation Serif" w:hAnsi="Liberation Serif" w:eastAsia="Segoe UI"/>
            <w:i/>
            <w:iCs/>
            <w:color w:val="000000"/>
            <w:lang w:val="en-US" w:eastAsia="en-US" w:bidi="en-US"/>
          </w:rPr>
          <w:t>art. 7º da Lei nº 14.133, de 2021</w:t>
        </w:r>
      </w:hyperlink>
      <w:r>
        <w:rPr>
          <w:rFonts w:ascii="Liberation Serif" w:hAnsi="Liberation Serif" w:eastAsia="Segoe UI"/>
          <w:i/>
          <w:iCs/>
          <w:color w:val="000000"/>
          <w:lang w:val="en-US" w:eastAsia="en-US" w:bidi="en-US"/>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comment>
  <w:comment w:id="29" w:author="Autor" w:date="0-00-00T00:00:00Z" w:initials="A">
    <w:p>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xml:space="preserve">: O presente anexo deverá ser adotado para colher a concordância do contratado com as regras e obrigações da contratação previstas no Termo de Referência e em seu anexo, </w:t>
      </w:r>
      <w:r>
        <w:rPr>
          <w:rFonts w:ascii="Liberation Serif" w:hAnsi="Liberation Serif" w:eastAsia="Segoe UI"/>
          <w:b/>
          <w:bCs/>
          <w:i/>
          <w:iCs/>
          <w:lang w:val="en-US" w:eastAsia="en-US" w:bidi="en-US"/>
        </w:rPr>
        <w:t>em caso de substituição do termo de contrato por instrumento equivalente</w:t>
      </w:r>
      <w:r>
        <w:rPr>
          <w:rFonts w:ascii="Liberation Serif" w:hAnsi="Liberation Serif" w:eastAsia="Segoe UI"/>
          <w:i/>
          <w:iCs/>
          <w:lang w:val="en-US" w:eastAsia="en-US" w:bidi="en-US"/>
        </w:rPr>
        <w:t xml:space="preserve">, na forma do art. 95, incisos I e II, da Lei n.º 14.133, de 2021, com a interpretação conferida pela Orientação Normativa AGU n.º 84, de 2024.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Ecofont_Spranq_eco_Sans">
    <w:charset w:val="00"/>
    <w:family w:val="roman"/>
    <w:pitch w:val="variable"/>
  </w:font>
  <w:font w:name="Arial">
    <w:charset w:val="00"/>
    <w:family w:val="roman"/>
    <w:pitch w:val="variable"/>
  </w:font>
  <w:font w:name="Calibri">
    <w:charset w:val="00"/>
    <w:family w:val="roman"/>
    <w:pitch w:val="variable"/>
  </w:font>
  <w:font w:name="Tahoma">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Bottom of Page)"/>
        <w:docPartUnique w:val="true"/>
      </w:docPartObj>
      <w:id w:val="956028213"/>
    </w:sdtPr>
    <w:sdtContent>
      <w:p>
        <w:pPr>
          <w:pStyle w:val="Rodap"/>
          <w:rPr>
            <w:color w:val="548DD4" w:themeColor="text2" w:themeTint="99"/>
            <w:spacing w:val="60"/>
            <w:sz w:val="16"/>
            <w:szCs w:val="16"/>
          </w:rPr>
        </w:pPr>
        <w:r>
          <w:rPr>
            <w:color w:val="548DD4" w:themeColor="text2" w:themeTint="99"/>
            <w:spacing w:val="60"/>
            <w:sz w:val="22"/>
            <w:szCs w:val="22"/>
          </w:rPr>
          <w:tab/>
          <w:tab/>
        </w:r>
      </w:p>
      <w:p>
        <w:pPr>
          <w:pStyle w:val="Rodap"/>
          <w:rPr>
            <w:rFonts w:ascii="Arial" w:hAnsi="Arial"/>
            <w:color w:val="7F7F7F" w:themeColor="text1" w:themeTint="80"/>
            <w:sz w:val="18"/>
          </w:rPr>
        </w:pPr>
        <w:r>
          <w:rPr>
            <w:color w:val="7F7F7F" w:themeColor="text1" w:themeTint="80"/>
            <w:spacing w:val="60"/>
            <w:sz w:val="22"/>
            <w:szCs w:val="22"/>
          </w:rPr>
          <w:tab/>
          <w:tab/>
        </w:r>
        <w:r>
          <w:rPr>
            <w:rFonts w:ascii="Arial" w:hAnsi="Arial"/>
            <w:color w:val="595959" w:themeColor="text1" w:themeTint="a6"/>
            <w:spacing w:val="60"/>
            <w:sz w:val="18"/>
          </w:rPr>
          <w:t>Página</w:t>
        </w:r>
        <w:r>
          <w:rPr>
            <w:rFonts w:ascii="Arial" w:hAnsi="Arial"/>
            <w:color w:val="595959" w:themeColor="text1" w:themeTint="a6"/>
            <w:sz w:val="18"/>
          </w:rPr>
          <w:t xml:space="preserve"> </w:t>
        </w:r>
        <w:r>
          <w:rPr>
            <w:rFonts w:ascii="Arial" w:hAnsi="Arial"/>
            <w:color w:val="595959"/>
            <w:sz w:val="18"/>
          </w:rPr>
          <w:fldChar w:fldCharType="begin"/>
        </w:r>
        <w:r>
          <w:rPr>
            <w:sz w:val="18"/>
            <w:rFonts w:ascii="Arial" w:hAnsi="Arial"/>
            <w:color w:val="595959"/>
          </w:rPr>
          <w:instrText> PAGE </w:instrText>
        </w:r>
        <w:r>
          <w:rPr>
            <w:sz w:val="18"/>
            <w:rFonts w:ascii="Arial" w:hAnsi="Arial"/>
            <w:color w:val="595959"/>
          </w:rPr>
          <w:fldChar w:fldCharType="separate"/>
        </w:r>
        <w:r>
          <w:rPr>
            <w:sz w:val="18"/>
            <w:rFonts w:ascii="Arial" w:hAnsi="Arial"/>
            <w:color w:val="595959"/>
          </w:rPr>
          <w:t>20</w:t>
        </w:r>
        <w:r>
          <w:rPr>
            <w:sz w:val="18"/>
            <w:rFonts w:ascii="Arial" w:hAnsi="Arial"/>
            <w:color w:val="595959"/>
          </w:rPr>
          <w:fldChar w:fldCharType="end"/>
        </w:r>
        <w:r>
          <w:rPr>
            <w:rFonts w:ascii="Arial" w:hAnsi="Arial"/>
            <w:color w:val="595959" w:themeColor="text1" w:themeTint="a6"/>
            <w:sz w:val="18"/>
          </w:rPr>
          <w:t xml:space="preserve"> | </w:t>
        </w:r>
        <w:r>
          <w:rPr>
            <w:rFonts w:ascii="Arial" w:hAnsi="Arial"/>
            <w:color w:val="595959"/>
            <w:sz w:val="18"/>
          </w:rPr>
          <w:fldChar w:fldCharType="begin"/>
        </w:r>
        <w:r>
          <w:rPr>
            <w:sz w:val="18"/>
            <w:rFonts w:ascii="Arial" w:hAnsi="Arial"/>
            <w:color w:val="595959"/>
          </w:rPr>
          <w:instrText> NUMPAGES </w:instrText>
        </w:r>
        <w:r>
          <w:rPr>
            <w:sz w:val="18"/>
            <w:rFonts w:ascii="Arial" w:hAnsi="Arial"/>
            <w:color w:val="595959"/>
          </w:rPr>
          <w:fldChar w:fldCharType="separate"/>
        </w:r>
        <w:r>
          <w:rPr>
            <w:sz w:val="18"/>
            <w:rFonts w:ascii="Arial" w:hAnsi="Arial"/>
            <w:color w:val="595959"/>
          </w:rPr>
          <w:t>20</w:t>
        </w:r>
        <w:r>
          <w:rPr>
            <w:sz w:val="18"/>
            <w:rFonts w:ascii="Arial" w:hAnsi="Arial"/>
            <w:color w:val="595959"/>
          </w:rPr>
          <w:fldChar w:fldCharType="end"/>
        </w:r>
      </w:p>
      <w:p>
        <w:pPr>
          <w:pStyle w:val="Rodap"/>
          <w:rPr>
            <w:rFonts w:ascii="Arial" w:hAnsi="Arial"/>
            <w:sz w:val="14"/>
          </w:rPr>
        </w:pPr>
        <w:r>
          <w:rPr>
            <w:rFonts w:ascii="Arial" w:hAnsi="Arial"/>
            <w:sz w:val="14"/>
          </w:rPr>
          <w:t>Câmara Nacional de Modelos de Licitações e Contratos da Consultoria-Geral da União</w:t>
        </w:r>
      </w:p>
      <w:p>
        <w:pPr>
          <w:pStyle w:val="Rodap"/>
          <w:rPr>
            <w:rFonts w:ascii="Arial" w:hAnsi="Arial"/>
            <w:color w:val="0F243E" w:themeColor="text2" w:themeShade="80"/>
            <w:sz w:val="14"/>
          </w:rPr>
        </w:pPr>
        <w:r>
          <w:rPr>
            <w:rFonts w:cs="Arial" w:ascii="Arial" w:hAnsi="Arial"/>
            <w:sz w:val="14"/>
            <w:szCs w:val="14"/>
          </w:rPr>
          <w:t xml:space="preserve">Modelo de </w:t>
        </w:r>
        <w:r>
          <w:rPr>
            <w:rFonts w:ascii="Arial" w:hAnsi="Arial"/>
            <w:sz w:val="14"/>
          </w:rPr>
          <w:t xml:space="preserve">Termo de Referência – Aquisições </w:t>
        </w:r>
        <w:r>
          <w:rPr>
            <w:rFonts w:cs="Arial" w:ascii="Arial" w:hAnsi="Arial"/>
            <w:sz w:val="14"/>
            <w:szCs w:val="14"/>
          </w:rPr>
          <w:t>– Licitação e Contratação Direta - Lei nº 14.133, de 2021</w:t>
        </w:r>
      </w:p>
      <w:p>
        <w:pPr>
          <w:pStyle w:val="Rodap"/>
          <w:rPr>
            <w:rFonts w:ascii="Arial" w:hAnsi="Arial"/>
            <w:sz w:val="14"/>
          </w:rPr>
        </w:pPr>
        <w:r>
          <w:rPr>
            <w:rFonts w:ascii="Arial" w:hAnsi="Arial"/>
            <w:sz w:val="14"/>
          </w:rPr>
          <w:t>Aprovado pela Secretaria de Gestão</w:t>
        </w:r>
        <w:r>
          <w:rPr>
            <w:rFonts w:cs="Arial" w:ascii="Arial" w:hAnsi="Arial"/>
            <w:sz w:val="14"/>
            <w:szCs w:val="14"/>
          </w:rPr>
          <w:t xml:space="preserve"> e Inovação</w:t>
        </w:r>
      </w:p>
      <w:p>
        <w:pPr>
          <w:pStyle w:val="Rodap"/>
          <w:rPr>
            <w:rFonts w:ascii="Arial" w:hAnsi="Arial"/>
            <w:sz w:val="14"/>
          </w:rPr>
        </w:pPr>
        <w:r>
          <w:rPr>
            <w:rFonts w:ascii="Arial" w:hAnsi="Arial"/>
            <w:sz w:val="14"/>
          </w:rPr>
          <w:t xml:space="preserve">Identidade visual pela Secretaria de Gestão </w:t>
        </w:r>
        <w:r>
          <w:rPr>
            <w:rFonts w:cs="Arial" w:ascii="Arial" w:hAnsi="Arial"/>
            <w:sz w:val="14"/>
            <w:szCs w:val="14"/>
          </w:rPr>
          <w:t>e Inovação</w:t>
        </w:r>
      </w:p>
      <w:p>
        <w:pPr>
          <w:pStyle w:val="Rodap"/>
          <w:rPr>
            <w:rFonts w:ascii="Arial" w:hAnsi="Arial"/>
            <w:sz w:val="14"/>
          </w:rPr>
        </w:pPr>
        <w:r>
          <w:rPr>
            <w:rFonts w:cs="Arial" w:ascii="Arial" w:hAnsi="Arial"/>
            <w:sz w:val="14"/>
            <w:szCs w:val="14"/>
          </w:rPr>
          <w:t>Atualização: ABR/2025</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Bottom of Page)"/>
        <w:docPartUnique w:val="true"/>
      </w:docPartObj>
      <w:id w:val="459851771"/>
    </w:sdtPr>
    <w:sdtContent>
      <w:p>
        <w:pPr>
          <w:pStyle w:val="Rodap"/>
          <w:rPr>
            <w:color w:val="548DD4" w:themeColor="text2" w:themeTint="99"/>
            <w:spacing w:val="60"/>
            <w:sz w:val="16"/>
            <w:szCs w:val="16"/>
          </w:rPr>
        </w:pPr>
        <w:r>
          <w:rPr>
            <w:color w:val="548DD4" w:themeColor="text2" w:themeTint="99"/>
            <w:spacing w:val="60"/>
            <w:sz w:val="22"/>
            <w:szCs w:val="22"/>
          </w:rPr>
          <w:tab/>
          <w:tab/>
        </w:r>
      </w:p>
      <w:p>
        <w:pPr>
          <w:pStyle w:val="Rodap"/>
          <w:rPr>
            <w:rFonts w:ascii="Arial" w:hAnsi="Arial"/>
            <w:color w:val="7F7F7F" w:themeColor="text1" w:themeTint="80"/>
            <w:sz w:val="18"/>
          </w:rPr>
        </w:pPr>
        <w:r>
          <w:rPr>
            <w:color w:val="7F7F7F" w:themeColor="text1" w:themeTint="80"/>
            <w:spacing w:val="60"/>
            <w:sz w:val="22"/>
            <w:szCs w:val="22"/>
          </w:rPr>
          <w:tab/>
          <w:tab/>
        </w:r>
        <w:r>
          <w:rPr>
            <w:rFonts w:ascii="Arial" w:hAnsi="Arial"/>
            <w:color w:val="595959" w:themeColor="text1" w:themeTint="a6"/>
            <w:spacing w:val="60"/>
            <w:sz w:val="18"/>
          </w:rPr>
          <w:t>Página</w:t>
        </w:r>
        <w:r>
          <w:rPr>
            <w:rFonts w:ascii="Arial" w:hAnsi="Arial"/>
            <w:color w:val="595959" w:themeColor="text1" w:themeTint="a6"/>
            <w:sz w:val="18"/>
          </w:rPr>
          <w:t xml:space="preserve"> </w:t>
        </w:r>
        <w:r>
          <w:rPr>
            <w:rFonts w:ascii="Arial" w:hAnsi="Arial"/>
            <w:color w:val="595959"/>
            <w:sz w:val="18"/>
          </w:rPr>
          <w:fldChar w:fldCharType="begin"/>
        </w:r>
        <w:r>
          <w:rPr>
            <w:sz w:val="18"/>
            <w:rFonts w:ascii="Arial" w:hAnsi="Arial"/>
            <w:color w:val="595959"/>
          </w:rPr>
          <w:instrText> PAGE </w:instrText>
        </w:r>
        <w:r>
          <w:rPr>
            <w:sz w:val="18"/>
            <w:rFonts w:ascii="Arial" w:hAnsi="Arial"/>
            <w:color w:val="595959"/>
          </w:rPr>
          <w:fldChar w:fldCharType="separate"/>
        </w:r>
        <w:r>
          <w:rPr>
            <w:sz w:val="18"/>
            <w:rFonts w:ascii="Arial" w:hAnsi="Arial"/>
            <w:color w:val="595959"/>
          </w:rPr>
          <w:t>20</w:t>
        </w:r>
        <w:r>
          <w:rPr>
            <w:sz w:val="18"/>
            <w:rFonts w:ascii="Arial" w:hAnsi="Arial"/>
            <w:color w:val="595959"/>
          </w:rPr>
          <w:fldChar w:fldCharType="end"/>
        </w:r>
        <w:r>
          <w:rPr>
            <w:rFonts w:ascii="Arial" w:hAnsi="Arial"/>
            <w:color w:val="595959" w:themeColor="text1" w:themeTint="a6"/>
            <w:sz w:val="18"/>
          </w:rPr>
          <w:t xml:space="preserve"> | </w:t>
        </w:r>
        <w:r>
          <w:rPr>
            <w:rFonts w:ascii="Arial" w:hAnsi="Arial"/>
            <w:color w:val="595959"/>
            <w:sz w:val="18"/>
          </w:rPr>
          <w:fldChar w:fldCharType="begin"/>
        </w:r>
        <w:r>
          <w:rPr>
            <w:sz w:val="18"/>
            <w:rFonts w:ascii="Arial" w:hAnsi="Arial"/>
            <w:color w:val="595959"/>
          </w:rPr>
          <w:instrText> NUMPAGES </w:instrText>
        </w:r>
        <w:r>
          <w:rPr>
            <w:sz w:val="18"/>
            <w:rFonts w:ascii="Arial" w:hAnsi="Arial"/>
            <w:color w:val="595959"/>
          </w:rPr>
          <w:fldChar w:fldCharType="separate"/>
        </w:r>
        <w:r>
          <w:rPr>
            <w:sz w:val="18"/>
            <w:rFonts w:ascii="Arial" w:hAnsi="Arial"/>
            <w:color w:val="595959"/>
          </w:rPr>
          <w:t>20</w:t>
        </w:r>
        <w:r>
          <w:rPr>
            <w:sz w:val="18"/>
            <w:rFonts w:ascii="Arial" w:hAnsi="Arial"/>
            <w:color w:val="595959"/>
          </w:rPr>
          <w:fldChar w:fldCharType="end"/>
        </w:r>
      </w:p>
      <w:p>
        <w:pPr>
          <w:pStyle w:val="Rodap"/>
          <w:rPr>
            <w:rFonts w:ascii="Arial" w:hAnsi="Arial"/>
            <w:sz w:val="14"/>
          </w:rPr>
        </w:pPr>
        <w:r>
          <w:rPr>
            <w:rFonts w:ascii="Arial" w:hAnsi="Arial"/>
            <w:sz w:val="14"/>
          </w:rPr>
          <w:t>Câmara Nacional de Modelos de Licitações e Contratos da Consultoria-Geral da União</w:t>
        </w:r>
      </w:p>
      <w:p>
        <w:pPr>
          <w:pStyle w:val="Rodap"/>
          <w:rPr>
            <w:rFonts w:ascii="Arial" w:hAnsi="Arial"/>
            <w:color w:val="0F243E" w:themeColor="text2" w:themeShade="80"/>
            <w:sz w:val="14"/>
          </w:rPr>
        </w:pPr>
        <w:r>
          <w:rPr>
            <w:rFonts w:cs="Arial" w:ascii="Arial" w:hAnsi="Arial"/>
            <w:sz w:val="14"/>
            <w:szCs w:val="14"/>
          </w:rPr>
          <w:t xml:space="preserve">Modelo de </w:t>
        </w:r>
        <w:r>
          <w:rPr>
            <w:rFonts w:ascii="Arial" w:hAnsi="Arial"/>
            <w:sz w:val="14"/>
          </w:rPr>
          <w:t xml:space="preserve">Termo de Referência – Aquisições </w:t>
        </w:r>
        <w:r>
          <w:rPr>
            <w:rFonts w:cs="Arial" w:ascii="Arial" w:hAnsi="Arial"/>
            <w:sz w:val="14"/>
            <w:szCs w:val="14"/>
          </w:rPr>
          <w:t>– Licitação e Contratação Direta - Lei nº 14.133, de 2021</w:t>
        </w:r>
      </w:p>
      <w:p>
        <w:pPr>
          <w:pStyle w:val="Rodap"/>
          <w:rPr>
            <w:rFonts w:ascii="Arial" w:hAnsi="Arial"/>
            <w:sz w:val="14"/>
          </w:rPr>
        </w:pPr>
        <w:r>
          <w:rPr>
            <w:rFonts w:ascii="Arial" w:hAnsi="Arial"/>
            <w:sz w:val="14"/>
          </w:rPr>
          <w:t>Aprovado pela Secretaria de Gestão</w:t>
        </w:r>
        <w:r>
          <w:rPr>
            <w:rFonts w:cs="Arial" w:ascii="Arial" w:hAnsi="Arial"/>
            <w:sz w:val="14"/>
            <w:szCs w:val="14"/>
          </w:rPr>
          <w:t xml:space="preserve"> e Inovação</w:t>
        </w:r>
      </w:p>
      <w:p>
        <w:pPr>
          <w:pStyle w:val="Rodap"/>
          <w:rPr>
            <w:rFonts w:ascii="Arial" w:hAnsi="Arial"/>
            <w:sz w:val="14"/>
          </w:rPr>
        </w:pPr>
        <w:r>
          <w:rPr>
            <w:rFonts w:ascii="Arial" w:hAnsi="Arial"/>
            <w:sz w:val="14"/>
          </w:rPr>
          <w:t xml:space="preserve">Identidade visual pela Secretaria de Gestão </w:t>
        </w:r>
        <w:r>
          <w:rPr>
            <w:rFonts w:cs="Arial" w:ascii="Arial" w:hAnsi="Arial"/>
            <w:sz w:val="14"/>
            <w:szCs w:val="14"/>
          </w:rPr>
          <w:t>e Inovação</w:t>
        </w:r>
      </w:p>
      <w:p>
        <w:pPr>
          <w:pStyle w:val="Rodap"/>
          <w:rPr>
            <w:rFonts w:ascii="Arial" w:hAnsi="Arial"/>
            <w:sz w:val="14"/>
          </w:rPr>
        </w:pPr>
        <w:r>
          <w:rPr>
            <w:rFonts w:cs="Arial" w:ascii="Arial" w:hAnsi="Arial"/>
            <w:sz w:val="14"/>
            <w:szCs w:val="14"/>
          </w:rPr>
          <w:t>Atualização: ABR/2025</w: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emEspaamento"/>
      <w:jc w:val="center"/>
      <w:rPr/>
    </w:pPr>
    <w:r>
      <w:rPr/>
      <w:drawing>
        <wp:inline distT="0" distB="0" distL="0" distR="0">
          <wp:extent cx="577850" cy="553085"/>
          <wp:effectExtent l="0" t="0" r="0" b="0"/>
          <wp:docPr id="1"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1" descr=""/>
                  <pic:cNvPicPr>
                    <a:picLocks noChangeAspect="1" noChangeArrowheads="1"/>
                  </pic:cNvPicPr>
                </pic:nvPicPr>
                <pic:blipFill>
                  <a:blip r:embed="rId1"/>
                  <a:stretch>
                    <a:fillRect/>
                  </a:stretch>
                </pic:blipFill>
                <pic:spPr bwMode="auto">
                  <a:xfrm>
                    <a:off x="0" y="0"/>
                    <a:ext cx="577850" cy="553085"/>
                  </a:xfrm>
                  <a:prstGeom prst="rect">
                    <a:avLst/>
                  </a:prstGeom>
                </pic:spPr>
              </pic:pic>
            </a:graphicData>
          </a:graphic>
        </wp:inline>
      </w:drawing>
    </w:r>
  </w:p>
  <w:p>
    <w:pPr>
      <w:pStyle w:val="SemEspaamento"/>
      <w:jc w:val="center"/>
      <w:rPr>
        <w:rFonts w:ascii="Times New Roman" w:hAnsi="Times New Roman"/>
        <w:b/>
        <w:b/>
        <w:sz w:val="22"/>
        <w:szCs w:val="22"/>
      </w:rPr>
    </w:pPr>
    <w:r>
      <w:rPr>
        <w:b/>
        <w:sz w:val="22"/>
        <w:szCs w:val="22"/>
      </w:rPr>
      <w:t>MINISTÉRIO DA EDUCAÇÃO</w:t>
    </w:r>
  </w:p>
  <w:p>
    <w:pPr>
      <w:pStyle w:val="SemEspaamento"/>
      <w:jc w:val="center"/>
      <w:rPr>
        <w:rFonts w:ascii="Times New Roman" w:hAnsi="Times New Roman"/>
        <w:b/>
        <w:b/>
        <w:sz w:val="22"/>
        <w:szCs w:val="22"/>
      </w:rPr>
    </w:pPr>
    <w:r>
      <w:rPr>
        <w:b/>
        <w:sz w:val="22"/>
        <w:szCs w:val="22"/>
      </w:rPr>
      <w:t>SECRETARIA DE EDUCAÇÃO PROFISSIONAL E TECNOLÓGICA</w:t>
    </w:r>
  </w:p>
  <w:p>
    <w:pPr>
      <w:pStyle w:val="SemEspaamento"/>
      <w:jc w:val="center"/>
      <w:rPr>
        <w:rFonts w:ascii="Times New Roman" w:hAnsi="Times New Roman"/>
        <w:b/>
        <w:b/>
        <w:sz w:val="22"/>
        <w:szCs w:val="22"/>
      </w:rPr>
    </w:pPr>
    <w:r>
      <w:rPr>
        <w:b/>
        <w:sz w:val="22"/>
        <w:szCs w:val="22"/>
      </w:rPr>
      <w:t>INSTITUTO FEDERAL DE EDUCAÇÃO, CIÊNCIA E TECNOLOGIA BAIANO</w:t>
    </w:r>
  </w:p>
  <w:p>
    <w:pPr>
      <w:pStyle w:val="SemEspaamento"/>
      <w:jc w:val="center"/>
      <w:rPr>
        <w:rFonts w:ascii="Times New Roman" w:hAnsi="Times New Roman"/>
        <w:b/>
        <w:b/>
        <w:sz w:val="22"/>
        <w:szCs w:val="22"/>
      </w:rPr>
    </w:pPr>
    <w:r>
      <w:rPr>
        <w:b/>
        <w:sz w:val="22"/>
        <w:szCs w:val="22"/>
      </w:rPr>
      <w:t>CAMPUS GOVERNADOR MANGABEIRA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emEspaamento"/>
      <w:jc w:val="center"/>
      <w:rPr/>
    </w:pPr>
    <w:r>
      <w:rPr/>
      <w:drawing>
        <wp:inline distT="0" distB="0" distL="0" distR="0">
          <wp:extent cx="577850" cy="553085"/>
          <wp:effectExtent l="0" t="0" r="0" b="0"/>
          <wp:docPr id="2"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1" descr=""/>
                  <pic:cNvPicPr>
                    <a:picLocks noChangeAspect="1" noChangeArrowheads="1"/>
                  </pic:cNvPicPr>
                </pic:nvPicPr>
                <pic:blipFill>
                  <a:blip r:embed="rId1"/>
                  <a:stretch>
                    <a:fillRect/>
                  </a:stretch>
                </pic:blipFill>
                <pic:spPr bwMode="auto">
                  <a:xfrm>
                    <a:off x="0" y="0"/>
                    <a:ext cx="577850" cy="553085"/>
                  </a:xfrm>
                  <a:prstGeom prst="rect">
                    <a:avLst/>
                  </a:prstGeom>
                </pic:spPr>
              </pic:pic>
            </a:graphicData>
          </a:graphic>
        </wp:inline>
      </w:drawing>
    </w:r>
  </w:p>
  <w:p>
    <w:pPr>
      <w:pStyle w:val="SemEspaamento"/>
      <w:jc w:val="center"/>
      <w:rPr>
        <w:rFonts w:ascii="Times New Roman" w:hAnsi="Times New Roman"/>
        <w:b/>
        <w:b/>
        <w:sz w:val="22"/>
        <w:szCs w:val="22"/>
      </w:rPr>
    </w:pPr>
    <w:r>
      <w:rPr>
        <w:b/>
        <w:sz w:val="22"/>
        <w:szCs w:val="22"/>
      </w:rPr>
      <w:t>MINISTÉRIO DA EDUCAÇÃO</w:t>
    </w:r>
  </w:p>
  <w:p>
    <w:pPr>
      <w:pStyle w:val="SemEspaamento"/>
      <w:jc w:val="center"/>
      <w:rPr>
        <w:rFonts w:ascii="Times New Roman" w:hAnsi="Times New Roman"/>
        <w:b/>
        <w:b/>
        <w:sz w:val="22"/>
        <w:szCs w:val="22"/>
      </w:rPr>
    </w:pPr>
    <w:r>
      <w:rPr>
        <w:b/>
        <w:sz w:val="22"/>
        <w:szCs w:val="22"/>
      </w:rPr>
      <w:t>SECRETARIA DE EDUCAÇÃO PROFISSIONAL E TECNOLÓGICA</w:t>
    </w:r>
  </w:p>
  <w:p>
    <w:pPr>
      <w:pStyle w:val="SemEspaamento"/>
      <w:jc w:val="center"/>
      <w:rPr>
        <w:rFonts w:ascii="Times New Roman" w:hAnsi="Times New Roman"/>
        <w:b/>
        <w:b/>
        <w:sz w:val="22"/>
        <w:szCs w:val="22"/>
      </w:rPr>
    </w:pPr>
    <w:r>
      <w:rPr>
        <w:b/>
        <w:sz w:val="22"/>
        <w:szCs w:val="22"/>
      </w:rPr>
      <w:t>INSTITUTO FEDERAL DE EDUCAÇÃO, CIÊNCIA E TECNOLOGIA BAIANO</w:t>
    </w:r>
  </w:p>
  <w:p>
    <w:pPr>
      <w:pStyle w:val="SemEspaamento"/>
      <w:jc w:val="center"/>
      <w:rPr>
        <w:rFonts w:ascii="Times New Roman" w:hAnsi="Times New Roman"/>
        <w:b/>
        <w:b/>
        <w:sz w:val="22"/>
        <w:szCs w:val="22"/>
      </w:rPr>
    </w:pPr>
    <w:r>
      <w:rPr>
        <w:b/>
        <w:sz w:val="22"/>
        <w:szCs w:val="22"/>
      </w:rPr>
      <w:t>CAMPUS GOVERNADOR MANGABEIRA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upperRoman"/>
      <w:lvlText w:val="%1)"/>
      <w:lvlJc w:val="left"/>
      <w:pPr>
        <w:tabs>
          <w:tab w:val="num" w:pos="0"/>
        </w:tabs>
        <w:ind w:left="3555" w:hanging="720"/>
      </w:pPr>
    </w:lvl>
    <w:lvl w:ilvl="1">
      <w:start w:val="1"/>
      <w:numFmt w:val="lowerLetter"/>
      <w:lvlText w:val="%2."/>
      <w:lvlJc w:val="left"/>
      <w:pPr>
        <w:tabs>
          <w:tab w:val="num" w:pos="0"/>
        </w:tabs>
        <w:ind w:left="3915" w:hanging="360"/>
      </w:pPr>
    </w:lvl>
    <w:lvl w:ilvl="2">
      <w:start w:val="1"/>
      <w:numFmt w:val="lowerRoman"/>
      <w:lvlText w:val="%3."/>
      <w:lvlJc w:val="right"/>
      <w:pPr>
        <w:tabs>
          <w:tab w:val="num" w:pos="0"/>
        </w:tabs>
        <w:ind w:left="4635" w:hanging="180"/>
      </w:pPr>
    </w:lvl>
    <w:lvl w:ilvl="3">
      <w:start w:val="1"/>
      <w:numFmt w:val="decimal"/>
      <w:lvlText w:val="%4."/>
      <w:lvlJc w:val="left"/>
      <w:pPr>
        <w:tabs>
          <w:tab w:val="num" w:pos="0"/>
        </w:tabs>
        <w:ind w:left="5355" w:hanging="360"/>
      </w:pPr>
    </w:lvl>
    <w:lvl w:ilvl="4">
      <w:start w:val="1"/>
      <w:numFmt w:val="lowerLetter"/>
      <w:lvlText w:val="%5."/>
      <w:lvlJc w:val="left"/>
      <w:pPr>
        <w:tabs>
          <w:tab w:val="num" w:pos="0"/>
        </w:tabs>
        <w:ind w:left="6075" w:hanging="360"/>
      </w:pPr>
    </w:lvl>
    <w:lvl w:ilvl="5">
      <w:start w:val="1"/>
      <w:numFmt w:val="lowerRoman"/>
      <w:lvlText w:val="%6."/>
      <w:lvlJc w:val="right"/>
      <w:pPr>
        <w:tabs>
          <w:tab w:val="num" w:pos="0"/>
        </w:tabs>
        <w:ind w:left="6795" w:hanging="180"/>
      </w:pPr>
    </w:lvl>
    <w:lvl w:ilvl="6">
      <w:start w:val="1"/>
      <w:numFmt w:val="decimal"/>
      <w:lvlText w:val="%7."/>
      <w:lvlJc w:val="left"/>
      <w:pPr>
        <w:tabs>
          <w:tab w:val="num" w:pos="0"/>
        </w:tabs>
        <w:ind w:left="7515" w:hanging="360"/>
      </w:pPr>
    </w:lvl>
    <w:lvl w:ilvl="7">
      <w:start w:val="1"/>
      <w:numFmt w:val="lowerLetter"/>
      <w:lvlText w:val="%8."/>
      <w:lvlJc w:val="left"/>
      <w:pPr>
        <w:tabs>
          <w:tab w:val="num" w:pos="0"/>
        </w:tabs>
        <w:ind w:left="8235" w:hanging="360"/>
      </w:pPr>
    </w:lvl>
    <w:lvl w:ilvl="8">
      <w:start w:val="1"/>
      <w:numFmt w:val="lowerRoman"/>
      <w:lvlText w:val="%9."/>
      <w:lvlJc w:val="right"/>
      <w:pPr>
        <w:tabs>
          <w:tab w:val="num" w:pos="0"/>
        </w:tabs>
        <w:ind w:left="8955" w:hanging="180"/>
      </w:pPr>
    </w:lvl>
  </w:abstractNum>
  <w:abstractNum w:abstractNumId="3">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auto"/>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6">
    <w:lvl w:ilvl="0">
      <w:start w:val="1"/>
      <w:numFmt w:val="upperRoman"/>
      <w:lvlText w:val="%1)"/>
      <w:lvlJc w:val="left"/>
      <w:pPr>
        <w:tabs>
          <w:tab w:val="num" w:pos="0"/>
        </w:tabs>
        <w:ind w:left="2136" w:hanging="72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7">
    <w:lvl w:ilvl="0">
      <w:start w:val="1"/>
      <w:numFmt w:val="bullet"/>
      <w:lvlText w:val=""/>
      <w:lvlJc w:val="left"/>
      <w:pPr>
        <w:tabs>
          <w:tab w:val="num" w:pos="227"/>
        </w:tabs>
        <w:ind w:left="227" w:hanging="227"/>
      </w:pPr>
      <w:rPr>
        <w:rFonts w:ascii="Symbol" w:hAnsi="Symbol" w:cs="Symbol" w:hint="default"/>
        <w:sz w:val="20"/>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sz w:val="20"/>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8">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9">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0">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1">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2">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3">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4">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5">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6">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7">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8">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9">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0">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1">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2">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3">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4">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5">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6">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7">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8">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9">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30">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31">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 w:numId="51">
    <w:abstractNumId w:val="3"/>
  </w:num>
  <w:num w:numId="52">
    <w:abstractNumId w:val="3"/>
  </w:num>
  <w:num w:numId="53">
    <w:abstractNumId w:val="3"/>
  </w:num>
  <w:num w:numId="54">
    <w:abstractNumId w:val="3"/>
  </w:num>
  <w:num w:numId="55">
    <w:abstractNumId w:val="3"/>
  </w:num>
  <w:num w:numId="56">
    <w:abstractNumId w:val="3"/>
  </w:num>
</w:numbering>
</file>

<file path=word/settings.xml><?xml version="1.0" encoding="utf-8"?>
<w:settings xmlns:w="http://schemas.openxmlformats.org/wordprocessingml/2006/main">
  <w:zoom w:percent="100"/>
  <w:mirrorMargins/>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Times New Roman" w:eastAsiaTheme="minorEastAsia"/>
        <w:lang w:val="pt-BR" w:eastAsia="en-US" w:bidi="ar-SA"/>
      </w:rPr>
    </w:rPrDefault>
    <w:pPrDefault>
      <w:pPr>
        <w:suppressAutoHyphens w:val="true"/>
      </w:pPr>
    </w:pPrDefault>
  </w:docDefaults>
  <w:latentStyles w:defLockedState="0" w:defUIPriority="0" w:defSemiHidden="0" w:defUnhideWhenUsed="0" w:defQFormat="0" w:count="376">
    <w:lsdException w:name="heading 1" w:uiPriority="9"/>
    <w:lsdException w:name="heading 3" w:uiPriority="9" w:semiHidden="1" w:unhideWhenUsed="1" w:qFormat="1"/>
    <w:lsdException w:name="heading 4" w:semiHidden="1" w:unhideWhenUsed="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a3333"/>
    <w:pPr>
      <w:widowControl/>
      <w:suppressAutoHyphens w:val="true"/>
      <w:bidi w:val="0"/>
      <w:spacing w:before="0" w:after="0"/>
      <w:jc w:val="left"/>
    </w:pPr>
    <w:rPr>
      <w:rFonts w:ascii="Ecofont_Spranq_eco_Sans" w:hAnsi="Ecofont_Spranq_eco_Sans" w:eastAsia="" w:cs="Tahoma" w:eastAsiaTheme="minorEastAsia"/>
      <w:color w:val="auto"/>
      <w:kern w:val="0"/>
      <w:sz w:val="24"/>
      <w:szCs w:val="24"/>
      <w:lang w:val="pt-BR" w:eastAsia="pt-BR" w:bidi="ar-SA"/>
    </w:rPr>
  </w:style>
  <w:style w:type="paragraph" w:styleId="Ttulo1">
    <w:name w:val="Heading 1"/>
    <w:basedOn w:val="Normal"/>
    <w:next w:val="Normal"/>
    <w:link w:val="Ttulo1Char"/>
    <w:uiPriority w:val="9"/>
    <w:qFormat/>
    <w:rsid w:val="00196a7f"/>
    <w:pPr>
      <w:keepNext w:val="true"/>
      <w:keepLines/>
      <w:spacing w:before="480" w:after="0"/>
      <w:outlineLvl w:val="0"/>
    </w:pPr>
    <w:rPr>
      <w:rFonts w:ascii="Arial" w:hAnsi="Arial" w:eastAsia="" w:cs="" w:cstheme="majorBidi" w:eastAsiaTheme="majorEastAsia"/>
      <w:b/>
      <w:bCs/>
      <w:sz w:val="20"/>
      <w:szCs w:val="28"/>
    </w:rPr>
  </w:style>
  <w:style w:type="paragraph" w:styleId="Ttulo2">
    <w:name w:val="Heading 2"/>
    <w:basedOn w:val="Normal"/>
    <w:next w:val="Normal"/>
    <w:link w:val="Ttulo2Char"/>
    <w:qFormat/>
    <w:rsid w:val="00196a7f"/>
    <w:pPr>
      <w:keepNext w:val="true"/>
      <w:spacing w:lineRule="auto" w:line="276" w:before="120" w:after="120"/>
      <w:ind w:left="0" w:hanging="0"/>
      <w:jc w:val="both"/>
      <w:outlineLvl w:val="1"/>
    </w:pPr>
    <w:rPr>
      <w:rFonts w:ascii="Arial" w:hAnsi="Arial" w:cs="Times New Roman"/>
      <w:sz w:val="20"/>
      <w:szCs w:val="20"/>
    </w:rPr>
  </w:style>
  <w:style w:type="paragraph" w:styleId="Ttulo3">
    <w:name w:val="Heading 3"/>
    <w:basedOn w:val="Normal"/>
    <w:next w:val="Normal"/>
    <w:link w:val="Ttulo3Char"/>
    <w:uiPriority w:val="9"/>
    <w:semiHidden/>
    <w:unhideWhenUsed/>
    <w:qFormat/>
    <w:rsid w:val="00cb3192"/>
    <w:pPr>
      <w:keepNext w:val="true"/>
      <w:keepLines/>
      <w:spacing w:lineRule="auto" w:line="259" w:before="40" w:after="0"/>
      <w:outlineLvl w:val="2"/>
    </w:pPr>
    <w:rPr>
      <w:rFonts w:ascii="Calibri" w:hAnsi="Calibri" w:eastAsia="" w:cs="" w:asciiTheme="majorHAnsi" w:cstheme="majorBidi" w:eastAsiaTheme="majorEastAsia" w:hAnsiTheme="majorHAnsi"/>
      <w:color w:val="243F60" w:themeColor="accent1" w:themeShade="7f"/>
      <w:lang w:eastAsia="en-US"/>
    </w:rPr>
  </w:style>
  <w:style w:type="paragraph" w:styleId="Ttulo4">
    <w:name w:val="Heading 4"/>
    <w:basedOn w:val="Normal"/>
    <w:next w:val="Normal"/>
    <w:link w:val="Ttulo4Char"/>
    <w:unhideWhenUsed/>
    <w:qFormat/>
    <w:rsid w:val="00196a7f"/>
    <w:pPr>
      <w:keepNext w:val="true"/>
      <w:keepLines/>
      <w:spacing w:before="40" w:after="0"/>
      <w:outlineLvl w:val="3"/>
    </w:pPr>
    <w:rPr>
      <w:rFonts w:ascii="Calibri" w:hAnsi="Calibri" w:eastAsia="" w:cs="" w:asciiTheme="majorHAnsi" w:cstheme="majorBidi" w:eastAsiaTheme="majorEastAsia" w:hAnsiTheme="majorHAnsi"/>
      <w:i/>
      <w:iCs/>
      <w:color w:val="365F91" w:themeColor="accent1" w:themeShade="bf"/>
    </w:rPr>
  </w:style>
  <w:style w:type="paragraph" w:styleId="Ttulo6">
    <w:name w:val="Heading 6"/>
    <w:basedOn w:val="Normal"/>
    <w:next w:val="Normal"/>
    <w:link w:val="Ttulo6Char"/>
    <w:uiPriority w:val="9"/>
    <w:semiHidden/>
    <w:unhideWhenUsed/>
    <w:qFormat/>
    <w:rsid w:val="00cb3192"/>
    <w:pPr>
      <w:keepNext w:val="true"/>
      <w:keepLines/>
      <w:spacing w:lineRule="auto" w:line="259" w:before="40" w:after="0"/>
      <w:outlineLvl w:val="5"/>
    </w:pPr>
    <w:rPr>
      <w:rFonts w:ascii="Calibri" w:hAnsi="Calibri" w:eastAsia="" w:cs="" w:asciiTheme="majorHAnsi" w:cstheme="majorBidi" w:eastAsiaTheme="majorEastAsia" w:hAnsiTheme="majorHAnsi"/>
      <w:color w:val="243F60" w:themeColor="accent1" w:themeShade="7f"/>
      <w:sz w:val="22"/>
      <w:szCs w:val="22"/>
      <w:lang w:eastAsia="en-US"/>
    </w:rPr>
  </w:style>
  <w:style w:type="character" w:styleId="DefaultParagraphFont" w:default="1">
    <w:name w:val="Default Paragraph Font"/>
    <w:uiPriority w:val="1"/>
    <w:semiHidden/>
    <w:unhideWhenUsed/>
    <w:qFormat/>
    <w:rPr/>
  </w:style>
  <w:style w:type="character" w:styleId="TextodebaloChar" w:customStyle="1">
    <w:name w:val="Texto de balão Char"/>
    <w:link w:val="BalloonText"/>
    <w:uiPriority w:val="99"/>
    <w:qFormat/>
    <w:rsid w:val="003a73c1"/>
    <w:rPr>
      <w:rFonts w:ascii="Tahoma" w:hAnsi="Tahoma" w:cs="Tahoma"/>
      <w:sz w:val="16"/>
      <w:szCs w:val="16"/>
    </w:rPr>
  </w:style>
  <w:style w:type="character" w:styleId="Ttulo2Char" w:customStyle="1">
    <w:name w:val="Título 2 Char"/>
    <w:qFormat/>
    <w:rsid w:val="00e14b42"/>
    <w:rPr>
      <w:rFonts w:ascii="Arial" w:hAnsi="Arial"/>
      <w:lang w:eastAsia="pt-BR"/>
    </w:rPr>
  </w:style>
  <w:style w:type="character" w:styleId="Normalchar1" w:customStyle="1">
    <w:name w:val="normal__char1"/>
    <w:qFormat/>
    <w:rsid w:val="008d51cc"/>
    <w:rPr>
      <w:rFonts w:ascii="Arial" w:hAnsi="Arial" w:cs="Arial"/>
      <w:strike w:val="false"/>
      <w:dstrike w:val="false"/>
      <w:sz w:val="24"/>
      <w:szCs w:val="24"/>
      <w:u w:val="none"/>
      <w:effect w:val="none"/>
    </w:rPr>
  </w:style>
  <w:style w:type="character" w:styleId="Applestylespan" w:customStyle="1">
    <w:name w:val="apple-style-span"/>
    <w:basedOn w:val="DefaultParagraphFont"/>
    <w:qFormat/>
    <w:rsid w:val="00260802"/>
    <w:rPr/>
  </w:style>
  <w:style w:type="character" w:styleId="LinkdaInternet" w:customStyle="1">
    <w:name w:val="Link da Internet"/>
    <w:basedOn w:val="DefaultParagraphFont"/>
    <w:uiPriority w:val="99"/>
    <w:unhideWhenUsed/>
    <w:qFormat/>
    <w:rsid w:val="00dc41dd"/>
    <w:rPr>
      <w:color w:val="0000FF" w:themeColor="hyperlink"/>
      <w:u w:val="single"/>
    </w:rPr>
  </w:style>
  <w:style w:type="character" w:styleId="CitaoChar" w:customStyle="1">
    <w:name w:val="Citação Char"/>
    <w:link w:val="Quote"/>
    <w:qFormat/>
    <w:rsid w:val="00080b53"/>
    <w:rPr>
      <w:rFonts w:ascii="Arial" w:hAnsi="Arial" w:eastAsia="Calibri" w:cs="Tahoma"/>
      <w:i/>
      <w:iCs/>
      <w:color w:val="000000"/>
      <w:szCs w:val="24"/>
      <w:shd w:fill="FFFFCC" w:val="clear"/>
    </w:rPr>
  </w:style>
  <w:style w:type="character" w:styleId="NotaexplicativaChar" w:customStyle="1">
    <w:name w:val="Nota explicativa Char"/>
    <w:basedOn w:val="CitaoChar"/>
    <w:link w:val="Notaexplicativa"/>
    <w:qFormat/>
    <w:rsid w:val="00265fb6"/>
    <w:rPr>
      <w:rFonts w:ascii="Arial" w:hAnsi="Arial" w:eastAsia="Calibri" w:cs="Tahoma"/>
      <w:i/>
      <w:iCs/>
      <w:color w:val="000000"/>
      <w:szCs w:val="24"/>
      <w:shd w:fill="FFFFCC" w:val="clear"/>
    </w:rPr>
  </w:style>
  <w:style w:type="character" w:styleId="CabealhoChar" w:customStyle="1">
    <w:name w:val="Cabeçalho Char"/>
    <w:uiPriority w:val="99"/>
    <w:qFormat/>
    <w:rsid w:val="00ca24fb"/>
    <w:rPr>
      <w:rFonts w:ascii="Ecofont_Spranq_eco_Sans" w:hAnsi="Ecofont_Spranq_eco_Sans" w:cs="Tahoma"/>
      <w:sz w:val="24"/>
      <w:szCs w:val="24"/>
    </w:rPr>
  </w:style>
  <w:style w:type="character" w:styleId="RodapChar" w:customStyle="1">
    <w:name w:val="Rodapé Char"/>
    <w:uiPriority w:val="99"/>
    <w:qFormat/>
    <w:rsid w:val="00ca24fb"/>
    <w:rPr>
      <w:rFonts w:ascii="Ecofont_Spranq_eco_Sans" w:hAnsi="Ecofont_Spranq_eco_Sans" w:cs="Tahoma"/>
      <w:sz w:val="24"/>
      <w:szCs w:val="24"/>
    </w:rPr>
  </w:style>
  <w:style w:type="character" w:styleId="Annotationreference">
    <w:name w:val="annotation reference"/>
    <w:basedOn w:val="DefaultParagraphFont"/>
    <w:unhideWhenUsed/>
    <w:qFormat/>
    <w:rsid w:val="00430fdb"/>
    <w:rPr>
      <w:sz w:val="16"/>
      <w:szCs w:val="16"/>
    </w:rPr>
  </w:style>
  <w:style w:type="character" w:styleId="TextodecomentrioChar" w:customStyle="1">
    <w:name w:val="Texto de comentário Char"/>
    <w:basedOn w:val="DefaultParagraphFont"/>
    <w:uiPriority w:val="99"/>
    <w:qFormat/>
    <w:rsid w:val="00430fdb"/>
    <w:rPr>
      <w:rFonts w:ascii="Ecofont_Spranq_eco_Sans" w:hAnsi="Ecofont_Spranq_eco_Sans" w:cs="Tahoma"/>
      <w:lang w:eastAsia="pt-BR"/>
    </w:rPr>
  </w:style>
  <w:style w:type="character" w:styleId="AssuntodocomentrioChar" w:customStyle="1">
    <w:name w:val="Assunto do comentário Char"/>
    <w:basedOn w:val="TextodecomentrioChar"/>
    <w:link w:val="annotationsubject"/>
    <w:uiPriority w:val="99"/>
    <w:semiHidden/>
    <w:qFormat/>
    <w:rsid w:val="00430fdb"/>
    <w:rPr>
      <w:rFonts w:ascii="Ecofont_Spranq_eco_Sans" w:hAnsi="Ecofont_Spranq_eco_Sans" w:cs="Tahoma"/>
      <w:b/>
      <w:bCs/>
      <w:lang w:eastAsia="pt-BR"/>
    </w:rPr>
  </w:style>
  <w:style w:type="character" w:styleId="Ttulo4Char" w:customStyle="1">
    <w:name w:val="Título 4 Char"/>
    <w:basedOn w:val="DefaultParagraphFont"/>
    <w:qFormat/>
    <w:rsid w:val="00a45a85"/>
    <w:rPr>
      <w:rFonts w:ascii="Calibri" w:hAnsi="Calibri" w:eastAsia="" w:cs="" w:asciiTheme="majorHAnsi" w:cstheme="majorBidi" w:eastAsiaTheme="majorEastAsia" w:hAnsiTheme="majorHAnsi"/>
      <w:i/>
      <w:iCs/>
      <w:color w:val="365F91" w:themeColor="accent1" w:themeShade="bf"/>
      <w:sz w:val="24"/>
      <w:szCs w:val="24"/>
      <w:lang w:eastAsia="pt-BR"/>
    </w:rPr>
  </w:style>
  <w:style w:type="character" w:styleId="TtuloChar" w:customStyle="1">
    <w:name w:val="Título Char"/>
    <w:basedOn w:val="DefaultParagraphFont"/>
    <w:qFormat/>
    <w:rsid w:val="007f77ad"/>
    <w:rPr>
      <w:rFonts w:ascii="Calibri" w:hAnsi="Calibri" w:eastAsia="" w:cs="" w:asciiTheme="majorHAnsi" w:cstheme="majorBidi" w:eastAsiaTheme="majorEastAsia" w:hAnsiTheme="majorHAnsi"/>
      <w:color w:val="17365D" w:themeColor="text2" w:themeShade="bf"/>
      <w:spacing w:val="5"/>
      <w:kern w:val="2"/>
      <w:sz w:val="52"/>
      <w:szCs w:val="52"/>
      <w:lang w:eastAsia="pt-BR"/>
    </w:rPr>
  </w:style>
  <w:style w:type="character" w:styleId="Nivel01Char" w:customStyle="1">
    <w:name w:val="Nivel 01 Char"/>
    <w:basedOn w:val="TtuloChar"/>
    <w:link w:val="Nivel01"/>
    <w:qFormat/>
    <w:rsid w:val="003b3af3"/>
    <w:rPr>
      <w:rFonts w:ascii="Arial" w:hAnsi="Arial" w:eastAsia="Arial" w:cs="Arial"/>
      <w:b/>
      <w:iCs/>
      <w:color w:val="17365D" w:themeColor="text2" w:themeShade="bf"/>
      <w:spacing w:val="5"/>
      <w:kern w:val="2"/>
      <w:sz w:val="52"/>
      <w:szCs w:val="52"/>
      <w:lang w:eastAsia="pt-BR"/>
    </w:rPr>
  </w:style>
  <w:style w:type="character" w:styleId="Ttulo1Char" w:customStyle="1">
    <w:name w:val="Título 1 Char"/>
    <w:basedOn w:val="DefaultParagraphFont"/>
    <w:uiPriority w:val="9"/>
    <w:qFormat/>
    <w:rsid w:val="00501cb5"/>
    <w:rPr>
      <w:rFonts w:ascii="Arial" w:hAnsi="Arial" w:eastAsia="" w:cs="" w:cstheme="majorBidi" w:eastAsiaTheme="majorEastAsia"/>
      <w:b/>
      <w:bCs/>
      <w:szCs w:val="28"/>
      <w:lang w:eastAsia="pt-BR"/>
    </w:rPr>
  </w:style>
  <w:style w:type="character" w:styleId="Nivel01TituloChar" w:customStyle="1">
    <w:name w:val="Nivel_01_Titulo Char"/>
    <w:basedOn w:val="Nivel01Char"/>
    <w:link w:val="Nivel01Titulo"/>
    <w:qFormat/>
    <w:rsid w:val="00e967ea"/>
    <w:rPr>
      <w:rFonts w:ascii="Arial" w:hAnsi="Arial" w:eastAsia="Arial" w:cs="" w:cstheme="majorBidi"/>
      <w:b/>
      <w:i w:val="false"/>
      <w:iCs/>
      <w:color w:val="000000" w:themeColor="text1"/>
      <w:spacing w:val="5"/>
      <w:kern w:val="2"/>
      <w:sz w:val="52"/>
      <w:szCs w:val="52"/>
      <w:lang w:eastAsia="pt-BR"/>
    </w:rPr>
  </w:style>
  <w:style w:type="character" w:styleId="QuoteChar" w:customStyle="1">
    <w:name w:val="Quote Char"/>
    <w:basedOn w:val="DefaultParagraphFont"/>
    <w:link w:val="Citao1"/>
    <w:qFormat/>
    <w:rsid w:val="00b77761"/>
    <w:rPr>
      <w:rFonts w:ascii="Ecofont_Spranq_eco_Sans" w:hAnsi="Ecofont_Spranq_eco_Sans" w:eastAsia="Calibri" w:cs="Tahoma"/>
      <w:i/>
      <w:iCs/>
      <w:color w:val="000000"/>
      <w:shd w:fill="FFFFCC" w:val="clear"/>
    </w:rPr>
  </w:style>
  <w:style w:type="character" w:styleId="Normaltextrun" w:customStyle="1">
    <w:name w:val="normaltextrun"/>
    <w:basedOn w:val="DefaultParagraphFont"/>
    <w:qFormat/>
    <w:rsid w:val="0053119e"/>
    <w:rPr/>
  </w:style>
  <w:style w:type="character" w:styleId="Eop" w:customStyle="1">
    <w:name w:val="eop"/>
    <w:basedOn w:val="DefaultParagraphFont"/>
    <w:qFormat/>
    <w:rsid w:val="0053119e"/>
    <w:rPr/>
  </w:style>
  <w:style w:type="character" w:styleId="Spellingerror" w:customStyle="1">
    <w:name w:val="spellingerror"/>
    <w:basedOn w:val="DefaultParagraphFont"/>
    <w:qFormat/>
    <w:rsid w:val="0053119e"/>
    <w:rPr/>
  </w:style>
  <w:style w:type="character" w:styleId="CorpodetextoChar" w:customStyle="1">
    <w:name w:val="Corpo de texto Char"/>
    <w:basedOn w:val="DefaultParagraphFont"/>
    <w:uiPriority w:val="99"/>
    <w:qFormat/>
    <w:rsid w:val="00405763"/>
    <w:rPr>
      <w:rFonts w:eastAsia="Times New Roman"/>
      <w:sz w:val="24"/>
      <w:szCs w:val="24"/>
      <w:lang w:eastAsia="pt-BR"/>
    </w:rPr>
  </w:style>
  <w:style w:type="character" w:styleId="Nivel1Char" w:customStyle="1">
    <w:name w:val="Nivel1 Char"/>
    <w:basedOn w:val="Ttulo1Char"/>
    <w:link w:val="Nivel1"/>
    <w:qFormat/>
    <w:rsid w:val="001b6423"/>
    <w:rPr>
      <w:rFonts w:ascii="Arial" w:hAnsi="Arial" w:eastAsia="" w:cs="Arial" w:eastAsiaTheme="majorEastAsia"/>
      <w:b/>
      <w:bCs w:val="false"/>
      <w:color w:val="000000"/>
      <w:szCs w:val="28"/>
      <w:lang w:eastAsia="pt-BR"/>
    </w:rPr>
  </w:style>
  <w:style w:type="character" w:styleId="Nivel4Char" w:customStyle="1">
    <w:name w:val="Nivel 4 Char"/>
    <w:basedOn w:val="DefaultParagraphFont"/>
    <w:link w:val="Nivel4"/>
    <w:qFormat/>
    <w:rsid w:val="00711273"/>
    <w:rPr>
      <w:rFonts w:ascii="Arial" w:hAnsi="Arial" w:cs="Arial"/>
      <w:bCs/>
      <w:lang w:eastAsia="pt-BR"/>
    </w:rPr>
  </w:style>
  <w:style w:type="character" w:styleId="Cp0020corpodespachochar1" w:customStyle="1">
    <w:name w:val="cp_0020corpodespacho__char1"/>
    <w:qFormat/>
    <w:rsid w:val="00d30a43"/>
    <w:rPr>
      <w:rFonts w:ascii="Times New Roman" w:hAnsi="Times New Roman" w:cs="Times New Roman"/>
      <w:strike w:val="false"/>
      <w:dstrike w:val="false"/>
      <w:sz w:val="26"/>
      <w:szCs w:val="26"/>
      <w:u w:val="none"/>
      <w:effect w:val="none"/>
    </w:rPr>
  </w:style>
  <w:style w:type="character" w:styleId="Em0020ementachar1" w:customStyle="1">
    <w:name w:val="em_0020ementa__char1"/>
    <w:qFormat/>
    <w:rsid w:val="00d30a43"/>
    <w:rPr>
      <w:rFonts w:ascii="Times New Roman" w:hAnsi="Times New Roman" w:cs="Times New Roman"/>
      <w:strike w:val="false"/>
      <w:dstrike w:val="false"/>
      <w:sz w:val="28"/>
      <w:szCs w:val="28"/>
      <w:u w:val="none"/>
      <w:effect w:val="none"/>
    </w:rPr>
  </w:style>
  <w:style w:type="character" w:styleId="Strong">
    <w:name w:val="Strong"/>
    <w:basedOn w:val="DefaultParagraphFont"/>
    <w:uiPriority w:val="22"/>
    <w:qFormat/>
    <w:rsid w:val="00d30a43"/>
    <w:rPr>
      <w:b/>
      <w:bCs/>
    </w:rPr>
  </w:style>
  <w:style w:type="character" w:styleId="Nfase">
    <w:name w:val="Ênfase"/>
    <w:basedOn w:val="DefaultParagraphFont"/>
    <w:uiPriority w:val="20"/>
    <w:qFormat/>
    <w:rsid w:val="00d30a43"/>
    <w:rPr>
      <w:i/>
      <w:iCs/>
    </w:rPr>
  </w:style>
  <w:style w:type="character" w:styleId="Manoel" w:customStyle="1">
    <w:name w:val="Manoel"/>
    <w:qFormat/>
    <w:rsid w:val="00d30a43"/>
    <w:rPr>
      <w:rFonts w:ascii="Arial" w:hAnsi="Arial" w:cs="Arial"/>
      <w:color w:val="7030A0"/>
      <w:sz w:val="20"/>
    </w:rPr>
  </w:style>
  <w:style w:type="character" w:styleId="GradeColoridanfase1Char" w:customStyle="1">
    <w:name w:val="Grade Colorida - Ênfase 1 Char"/>
    <w:link w:val="GradeColorida-nfase11"/>
    <w:uiPriority w:val="29"/>
    <w:qFormat/>
    <w:rsid w:val="00d30a43"/>
    <w:rPr>
      <w:rFonts w:ascii="Arial" w:hAnsi="Arial" w:eastAsia="Calibri"/>
      <w:i/>
      <w:iCs/>
      <w:color w:val="000000"/>
      <w:szCs w:val="24"/>
      <w:shd w:fill="FFFFCC" w:val="clear"/>
    </w:rPr>
  </w:style>
  <w:style w:type="character" w:styleId="Highlight" w:customStyle="1">
    <w:name w:val="highlight"/>
    <w:basedOn w:val="DefaultParagraphFont"/>
    <w:qFormat/>
    <w:rsid w:val="00d30a43"/>
    <w:rPr/>
  </w:style>
  <w:style w:type="character" w:styleId="Linkdainternetvisitado">
    <w:name w:val="Link da internet visitado"/>
    <w:basedOn w:val="DefaultParagraphFont"/>
    <w:uiPriority w:val="99"/>
    <w:semiHidden/>
    <w:unhideWhenUsed/>
    <w:rsid w:val="00d30a43"/>
    <w:rPr>
      <w:color w:val="800080" w:themeColor="followedHyperlink"/>
      <w:u w:val="single"/>
    </w:rPr>
  </w:style>
  <w:style w:type="character" w:styleId="MenoPendente1" w:customStyle="1">
    <w:name w:val="Menção Pendente1"/>
    <w:basedOn w:val="DefaultParagraphFont"/>
    <w:uiPriority w:val="99"/>
    <w:semiHidden/>
    <w:unhideWhenUsed/>
    <w:qFormat/>
    <w:rsid w:val="00d30a43"/>
    <w:rPr>
      <w:color w:val="605E5C"/>
      <w:shd w:fill="E1DFDD" w:val="clear"/>
    </w:rPr>
  </w:style>
  <w:style w:type="character" w:styleId="MenoPendente2" w:customStyle="1">
    <w:name w:val="Menção Pendente2"/>
    <w:basedOn w:val="DefaultParagraphFont"/>
    <w:uiPriority w:val="99"/>
    <w:semiHidden/>
    <w:unhideWhenUsed/>
    <w:qFormat/>
    <w:rsid w:val="0063029c"/>
    <w:rPr>
      <w:color w:val="605E5C"/>
      <w:shd w:fill="E1DFDD" w:val="clear"/>
    </w:rPr>
  </w:style>
  <w:style w:type="character" w:styleId="Nivel2OpcionalChar" w:customStyle="1">
    <w:name w:val="Nivel 2-Opcional Char"/>
    <w:basedOn w:val="DefaultParagraphFont"/>
    <w:link w:val="Nivel2-Opcional"/>
    <w:qFormat/>
    <w:locked/>
    <w:rsid w:val="00ee5824"/>
    <w:rPr>
      <w:rFonts w:ascii="Arial" w:hAnsi="Arial" w:eastAsia="Arial" w:cs="Arial"/>
      <w:i/>
      <w:color w:val="FF0000"/>
      <w:shd w:fill="76923C" w:val="clear"/>
      <w:lang w:eastAsia="pt-BR"/>
    </w:rPr>
  </w:style>
  <w:style w:type="character" w:styleId="Nvel2OpcionalChar" w:customStyle="1">
    <w:name w:val="Nível 2 Opcional Char"/>
    <w:basedOn w:val="DefaultParagraphFont"/>
    <w:link w:val="Nvel2Opcional"/>
    <w:qFormat/>
    <w:rsid w:val="00a831d9"/>
    <w:rPr>
      <w:rFonts w:ascii="Arial" w:hAnsi="Arial" w:eastAsia="Times New Roman" w:cs="Arial"/>
      <w:color w:val="FF0000"/>
      <w:shd w:fill="76923C" w:val="clear"/>
      <w:lang w:eastAsia="pt-BR"/>
    </w:rPr>
  </w:style>
  <w:style w:type="character" w:styleId="Nvel3OpcionalChar" w:customStyle="1">
    <w:name w:val="Nível 3 Opcional Char"/>
    <w:basedOn w:val="DefaultParagraphFont"/>
    <w:link w:val="Nvel3Opcional"/>
    <w:qFormat/>
    <w:rsid w:val="00a831d9"/>
    <w:rPr>
      <w:rFonts w:ascii="Arial" w:hAnsi="Arial" w:eastAsia="Times New Roman" w:cs="Tahoma"/>
      <w:i/>
      <w:iCs/>
      <w:color w:val="FF0000"/>
      <w:szCs w:val="24"/>
      <w:lang w:eastAsia="pt-BR"/>
    </w:rPr>
  </w:style>
  <w:style w:type="character" w:styleId="PlaceholderText">
    <w:name w:val="Placeholder Text"/>
    <w:basedOn w:val="DefaultParagraphFont"/>
    <w:uiPriority w:val="67"/>
    <w:semiHidden/>
    <w:qFormat/>
    <w:rsid w:val="0029332d"/>
    <w:rPr>
      <w:color w:val="808080"/>
    </w:rPr>
  </w:style>
  <w:style w:type="character" w:styleId="PargrafodaListaChar" w:customStyle="1">
    <w:name w:val="Parágrafo da Lista Char"/>
    <w:basedOn w:val="DefaultParagraphFont"/>
    <w:link w:val="ListParagraph"/>
    <w:uiPriority w:val="34"/>
    <w:qFormat/>
    <w:rsid w:val="002430f2"/>
    <w:rPr>
      <w:rFonts w:ascii="Ecofont_Spranq_eco_Sans" w:hAnsi="Ecofont_Spranq_eco_Sans" w:cs="Tahoma"/>
      <w:sz w:val="24"/>
      <w:szCs w:val="24"/>
      <w:lang w:eastAsia="pt-BR"/>
    </w:rPr>
  </w:style>
  <w:style w:type="character" w:styleId="Ttulo3Char" w:customStyle="1">
    <w:name w:val="Título 3 Char"/>
    <w:basedOn w:val="DefaultParagraphFont"/>
    <w:uiPriority w:val="9"/>
    <w:semiHidden/>
    <w:qFormat/>
    <w:rsid w:val="00cb3192"/>
    <w:rPr>
      <w:rFonts w:ascii="Calibri" w:hAnsi="Calibri" w:eastAsia="" w:cs="" w:asciiTheme="majorHAnsi" w:cstheme="majorBidi" w:eastAsiaTheme="majorEastAsia" w:hAnsiTheme="majorHAnsi"/>
      <w:color w:val="243F60" w:themeColor="accent1" w:themeShade="7f"/>
      <w:sz w:val="24"/>
      <w:szCs w:val="24"/>
    </w:rPr>
  </w:style>
  <w:style w:type="character" w:styleId="Ttulo6Char" w:customStyle="1">
    <w:name w:val="Título 6 Char"/>
    <w:basedOn w:val="DefaultParagraphFont"/>
    <w:uiPriority w:val="9"/>
    <w:semiHidden/>
    <w:qFormat/>
    <w:rsid w:val="00cb3192"/>
    <w:rPr>
      <w:rFonts w:ascii="Calibri" w:hAnsi="Calibri" w:eastAsia="" w:cs="" w:asciiTheme="majorHAnsi" w:cstheme="majorBidi" w:eastAsiaTheme="majorEastAsia" w:hAnsiTheme="majorHAnsi"/>
      <w:color w:val="243F60" w:themeColor="accent1" w:themeShade="7f"/>
      <w:sz w:val="22"/>
      <w:szCs w:val="22"/>
    </w:rPr>
  </w:style>
  <w:style w:type="character" w:styleId="Markedcontent" w:customStyle="1">
    <w:name w:val="markedcontent"/>
    <w:basedOn w:val="DefaultParagraphFont"/>
    <w:qFormat/>
    <w:rsid w:val="00cb3192"/>
    <w:rPr/>
  </w:style>
  <w:style w:type="character" w:styleId="MenoPendente3" w:customStyle="1">
    <w:name w:val="Menção Pendente3"/>
    <w:basedOn w:val="DefaultParagraphFont"/>
    <w:uiPriority w:val="99"/>
    <w:semiHidden/>
    <w:unhideWhenUsed/>
    <w:qFormat/>
    <w:rsid w:val="00cb3192"/>
    <w:rPr>
      <w:color w:val="605E5C"/>
      <w:shd w:fill="E1DFDD" w:val="clear"/>
    </w:rPr>
  </w:style>
  <w:style w:type="character" w:styleId="MenoPendente4" w:customStyle="1">
    <w:name w:val="Menção Pendente4"/>
    <w:basedOn w:val="DefaultParagraphFont"/>
    <w:uiPriority w:val="99"/>
    <w:semiHidden/>
    <w:unhideWhenUsed/>
    <w:qFormat/>
    <w:rsid w:val="00cb3192"/>
    <w:rPr>
      <w:color w:val="605E5C"/>
      <w:shd w:fill="E1DFDD" w:val="clear"/>
    </w:rPr>
  </w:style>
  <w:style w:type="character" w:styleId="OuChar" w:customStyle="1">
    <w:name w:val="ou Char"/>
    <w:basedOn w:val="PargrafodaListaChar"/>
    <w:link w:val="ou"/>
    <w:qFormat/>
    <w:rsid w:val="00057363"/>
    <w:rPr>
      <w:rFonts w:ascii="Arial" w:hAnsi="Arial" w:eastAsia="Cambria" w:cs="Arial" w:eastAsiaTheme="minorHAnsi"/>
      <w:b/>
      <w:bCs/>
      <w:i/>
      <w:iCs/>
      <w:color w:val="FF0000"/>
      <w:sz w:val="24"/>
      <w:szCs w:val="24"/>
      <w:lang w:eastAsia="pt-BR"/>
    </w:rPr>
  </w:style>
  <w:style w:type="character" w:styleId="Nvel02Char" w:customStyle="1">
    <w:name w:val="Nível 02 Char"/>
    <w:basedOn w:val="Nivel2OpcionalChar"/>
    <w:link w:val="Nvel02"/>
    <w:qFormat/>
    <w:rsid w:val="00ea1440"/>
    <w:rPr>
      <w:rFonts w:ascii="Arial" w:hAnsi="Arial" w:eastAsia="Arial" w:cs="Arial"/>
      <w:i w:val="false"/>
      <w:iCs/>
      <w:color w:val="FF0000"/>
      <w:shd w:fill="76923C" w:val="clear"/>
      <w:lang w:eastAsia="pt-BR"/>
    </w:rPr>
  </w:style>
  <w:style w:type="character" w:styleId="Nivel3erroChar" w:customStyle="1">
    <w:name w:val="Nivel 3-erro Char"/>
    <w:basedOn w:val="DefaultParagraphFont"/>
    <w:link w:val="Nivel3-erro"/>
    <w:qFormat/>
    <w:rsid w:val="00667c40"/>
    <w:rPr>
      <w:rFonts w:ascii="Arial" w:hAnsi="Arial" w:cs="Tahoma"/>
      <w:szCs w:val="24"/>
      <w:lang w:eastAsia="pt-BR"/>
    </w:rPr>
  </w:style>
  <w:style w:type="character" w:styleId="Nvel3RChar" w:customStyle="1">
    <w:name w:val="Nível 3-R Char"/>
    <w:basedOn w:val="Nivel3erroChar"/>
    <w:link w:val="Nvel3-R"/>
    <w:qFormat/>
    <w:rsid w:val="0074191c"/>
    <w:rPr>
      <w:rFonts w:ascii="Arial" w:hAnsi="Arial" w:cs="Arial"/>
      <w:i/>
      <w:iCs/>
      <w:color w:val="FF0000"/>
      <w:szCs w:val="24"/>
      <w:lang w:eastAsia="pt-BR"/>
    </w:rPr>
  </w:style>
  <w:style w:type="character" w:styleId="Nvel4RChar" w:customStyle="1">
    <w:name w:val="Nível 4-R Char"/>
    <w:basedOn w:val="Nivel4Char"/>
    <w:link w:val="Nvel4-R"/>
    <w:qFormat/>
    <w:rsid w:val="00d16569"/>
    <w:rPr>
      <w:rFonts w:ascii="Arial" w:hAnsi="Arial" w:cs="Arial"/>
      <w:bCs/>
      <w:i/>
      <w:color w:val="FF0000"/>
      <w:lang w:eastAsia="pt-BR"/>
    </w:rPr>
  </w:style>
  <w:style w:type="character" w:styleId="Nvel1SemNumChar" w:customStyle="1">
    <w:name w:val="Nível 1-Sem Num Char"/>
    <w:basedOn w:val="Nivel01Char"/>
    <w:link w:val="Nvel1-SemNum"/>
    <w:qFormat/>
    <w:rsid w:val="00ee5824"/>
    <w:rPr>
      <w:rFonts w:ascii="Arial" w:hAnsi="Arial" w:eastAsia="Arial" w:cs="Arial"/>
      <w:b/>
      <w:i/>
      <w:iCs w:val="false"/>
      <w:color w:val="FF0000" w:themeColor="text2" w:themeShade="bf"/>
      <w:spacing w:val="5"/>
      <w:kern w:val="2"/>
      <w:sz w:val="52"/>
      <w:szCs w:val="52"/>
      <w:lang w:eastAsia="pt-BR"/>
    </w:rPr>
  </w:style>
  <w:style w:type="character" w:styleId="PrembuloChar" w:customStyle="1">
    <w:name w:val="Preâmbulo Char"/>
    <w:basedOn w:val="DefaultParagraphFont"/>
    <w:link w:val="Prembulo"/>
    <w:qFormat/>
    <w:rsid w:val="00bb19e4"/>
    <w:rPr>
      <w:rFonts w:ascii="Arial" w:hAnsi="Arial" w:eastAsia="Arial" w:cs="Arial"/>
      <w:bCs/>
      <w:lang w:eastAsia="pt-BR"/>
    </w:rPr>
  </w:style>
  <w:style w:type="character" w:styleId="MenoPendente5" w:customStyle="1">
    <w:name w:val="Menção Pendente5"/>
    <w:basedOn w:val="DefaultParagraphFont"/>
    <w:uiPriority w:val="99"/>
    <w:semiHidden/>
    <w:unhideWhenUsed/>
    <w:qFormat/>
    <w:rsid w:val="008d252d"/>
    <w:rPr>
      <w:color w:val="605E5C"/>
      <w:shd w:fill="E1DFDD" w:val="clear"/>
    </w:rPr>
  </w:style>
  <w:style w:type="character" w:styleId="Citao2Char" w:customStyle="1">
    <w:name w:val="citação 2 Char"/>
    <w:basedOn w:val="CitaoChar"/>
    <w:link w:val="citao2"/>
    <w:qFormat/>
    <w:rsid w:val="00573b28"/>
    <w:rPr>
      <w:rFonts w:ascii="Arial" w:hAnsi="Arial" w:eastAsia="Calibri" w:cs="Tahoma"/>
      <w:i/>
      <w:iCs/>
      <w:color w:val="000000"/>
      <w:szCs w:val="24"/>
      <w:shd w:fill="FFFFCC" w:val="clear"/>
    </w:rPr>
  </w:style>
  <w:style w:type="character" w:styleId="Nvel1SemNumeraoChar" w:customStyle="1">
    <w:name w:val="Nível 1-Sem Numeração Char"/>
    <w:basedOn w:val="Nvel1SemNumChar"/>
    <w:link w:val="Nvel1-SemNumerao"/>
    <w:qFormat/>
    <w:rsid w:val="001e22b4"/>
    <w:rPr>
      <w:rFonts w:ascii="Arial" w:hAnsi="Arial" w:eastAsia="Arial" w:cs="Arial"/>
      <w:b/>
      <w:i w:val="false"/>
      <w:iCs w:val="false"/>
      <w:color w:val="FF0000" w:themeColor="text2" w:themeShade="bf"/>
      <w:spacing w:val="5"/>
      <w:kern w:val="2"/>
      <w:sz w:val="52"/>
      <w:szCs w:val="52"/>
      <w:lang w:eastAsia="pt-BR"/>
    </w:rPr>
  </w:style>
  <w:style w:type="character" w:styleId="MenoPendente6" w:customStyle="1">
    <w:name w:val="Menção Pendente6"/>
    <w:basedOn w:val="DefaultParagraphFont"/>
    <w:uiPriority w:val="99"/>
    <w:semiHidden/>
    <w:unhideWhenUsed/>
    <w:qFormat/>
    <w:rsid w:val="004b478e"/>
    <w:rPr>
      <w:color w:val="605E5C"/>
      <w:shd w:fill="E1DFDD" w:val="clear"/>
    </w:rPr>
  </w:style>
  <w:style w:type="character" w:styleId="AlteraesChar" w:customStyle="1">
    <w:name w:val="Alterações Char"/>
    <w:basedOn w:val="Nvel02Char"/>
    <w:link w:val="Alteraes"/>
    <w:uiPriority w:val="1"/>
    <w:qFormat/>
    <w:rsid w:val="00af5de1"/>
    <w:rPr>
      <w:rFonts w:ascii="Arial" w:hAnsi="Arial" w:eastAsia="Arial" w:cs="Arial"/>
      <w:i w:val="false"/>
      <w:iCs/>
      <w:color w:val="0000FF"/>
      <w:shd w:fill="76923C" w:val="clear"/>
      <w:lang w:eastAsia="pt-BR"/>
    </w:rPr>
  </w:style>
  <w:style w:type="character" w:styleId="Nivel3Char" w:customStyle="1">
    <w:name w:val="Nivel 3 Char"/>
    <w:basedOn w:val="DefaultParagraphFont"/>
    <w:link w:val="Nivel3"/>
    <w:qFormat/>
    <w:rsid w:val="00591ffe"/>
    <w:rPr>
      <w:rFonts w:ascii="Arial" w:hAnsi="Arial" w:cs="Tahoma"/>
      <w:szCs w:val="24"/>
      <w:lang w:eastAsia="pt-BR"/>
    </w:rPr>
  </w:style>
  <w:style w:type="character" w:styleId="UnresolvedMention">
    <w:name w:val="Unresolved Mention"/>
    <w:basedOn w:val="DefaultParagraphFont"/>
    <w:uiPriority w:val="99"/>
    <w:semiHidden/>
    <w:unhideWhenUsed/>
    <w:qFormat/>
    <w:rsid w:val="00793206"/>
    <w:rPr>
      <w:color w:val="605E5C"/>
      <w:shd w:fill="E1DFDD" w:val="clear"/>
    </w:rPr>
  </w:style>
  <w:style w:type="character" w:styleId="Nvel2OpcionalChar1" w:customStyle="1">
    <w:name w:val="Nível 2-Opcional Char"/>
    <w:basedOn w:val="Nvel02Char"/>
    <w:link w:val="Nvel2-Opcional"/>
    <w:qFormat/>
    <w:rsid w:val="00a70641"/>
    <w:rPr>
      <w:rFonts w:ascii="Arial" w:hAnsi="Arial" w:eastAsia="Arial" w:cs="Arial"/>
      <w:i/>
      <w:iCs/>
      <w:color w:val="FF0000"/>
      <w:shd w:fill="76923C" w:val="clear"/>
      <w:lang w:eastAsia="pt-BR"/>
    </w:rPr>
  </w:style>
  <w:style w:type="character" w:styleId="Nvel3OpcionalChar1" w:customStyle="1">
    <w:name w:val="Nível 3-Opcional Char"/>
    <w:basedOn w:val="Nivel3Char"/>
    <w:link w:val="Nvel3-Opcional"/>
    <w:qFormat/>
    <w:rsid w:val="00a70641"/>
    <w:rPr>
      <w:rFonts w:ascii="Arial" w:hAnsi="Arial" w:cs="Tahoma"/>
      <w:i/>
      <w:color w:val="FF0000"/>
      <w:szCs w:val="24"/>
      <w:lang w:eastAsia="pt-BR"/>
    </w:rPr>
  </w:style>
  <w:style w:type="character" w:styleId="Nvel1SemBlackChar" w:customStyle="1">
    <w:name w:val="Nível 1-Sem Black Char"/>
    <w:basedOn w:val="DefaultParagraphFont"/>
    <w:link w:val="Nvel1-SemBlack"/>
    <w:uiPriority w:val="1"/>
    <w:qFormat/>
    <w:rsid w:val="00243342"/>
    <w:rPr>
      <w:rFonts w:ascii="Arial" w:hAnsi="Arial" w:eastAsia="" w:cs="Arial" w:eastAsiaTheme="majorEastAsia"/>
      <w:b/>
      <w:bCs/>
      <w:lang w:eastAsia="pt-BR"/>
    </w:rPr>
  </w:style>
  <w:style w:type="character" w:styleId="Nivel2Char" w:customStyle="1">
    <w:name w:val="Nivel 2 Char"/>
    <w:basedOn w:val="DefaultParagraphFont"/>
    <w:link w:val="Nivel2"/>
    <w:qFormat/>
    <w:locked/>
    <w:rsid w:val="00196a7f"/>
    <w:rPr>
      <w:rFonts w:ascii="Arial" w:hAnsi="Arial" w:eastAsia="Arial" w:cs="Arial"/>
      <w:lang w:eastAsia="pt-BR"/>
    </w:rPr>
  </w:style>
  <w:style w:type="character" w:styleId="Nvel2RedChar" w:customStyle="1">
    <w:name w:val="Nível 2 -Red Char"/>
    <w:basedOn w:val="Nivel2Char"/>
    <w:link w:val="Nvel2-Red"/>
    <w:qFormat/>
    <w:rsid w:val="00196a7f"/>
    <w:rPr>
      <w:rFonts w:ascii="Arial" w:hAnsi="Arial" w:eastAsia="Arial" w:cs="Arial"/>
      <w:i/>
      <w:iCs/>
      <w:color w:val="FF0000"/>
      <w:lang w:eastAsia="pt-BR"/>
    </w:rPr>
  </w:style>
  <w:style w:type="character" w:styleId="Mentionnonrsolue1" w:customStyle="1">
    <w:name w:val="Mention non résolue1"/>
    <w:basedOn w:val="DefaultParagraphFont"/>
    <w:uiPriority w:val="99"/>
    <w:semiHidden/>
    <w:unhideWhenUsed/>
    <w:qFormat/>
    <w:rsid w:val="00196a7f"/>
    <w:rPr>
      <w:color w:val="605E5C"/>
      <w:shd w:fill="E1DFDD" w:val="clear"/>
    </w:rPr>
  </w:style>
  <w:style w:type="character" w:styleId="Findhit" w:customStyle="1">
    <w:name w:val="findhit"/>
    <w:basedOn w:val="DefaultParagraphFont"/>
    <w:qFormat/>
    <w:rsid w:val="00196a7f"/>
    <w:rPr/>
  </w:style>
  <w:style w:type="character" w:styleId="Meno1" w:customStyle="1">
    <w:name w:val="Menção1"/>
    <w:basedOn w:val="DefaultParagraphFont"/>
    <w:uiPriority w:val="99"/>
    <w:unhideWhenUsed/>
    <w:qFormat/>
    <w:rsid w:val="00196a7f"/>
    <w:rPr>
      <w:color w:val="2B579A"/>
      <w:shd w:fill="E6E6E6" w:val="clear"/>
    </w:rPr>
  </w:style>
  <w:style w:type="character" w:styleId="Nvel1SemNumPretoChar" w:customStyle="1">
    <w:name w:val="Nível 1-Sem Num Preto Char"/>
    <w:basedOn w:val="Nvel1SemNumChar"/>
    <w:link w:val="Nvel1-SemNumPreto"/>
    <w:qFormat/>
    <w:rsid w:val="00196a7f"/>
    <w:rPr>
      <w:rFonts w:ascii="Arial" w:hAnsi="Arial" w:eastAsia="" w:cs="Arial" w:eastAsiaTheme="majorEastAsia"/>
      <w:b/>
      <w:bCs/>
      <w:i w:val="false"/>
      <w:iCs/>
      <w:color w:val="FF0000" w:themeColor="text2" w:themeShade="bf"/>
      <w:spacing w:val="5"/>
      <w:kern w:val="2"/>
      <w:sz w:val="52"/>
      <w:szCs w:val="52"/>
      <w:lang w:eastAsia="zh-CN" w:bidi="hi-IN"/>
    </w:rPr>
  </w:style>
  <w:style w:type="character" w:styleId="Cf01" w:customStyle="1">
    <w:name w:val="cf01"/>
    <w:basedOn w:val="DefaultParagraphFont"/>
    <w:qFormat/>
    <w:rsid w:val="00196a7f"/>
    <w:rPr>
      <w:rFonts w:ascii="Segoe UI" w:hAnsi="Segoe UI" w:cs="Segoe UI"/>
      <w:b/>
      <w:bCs/>
      <w:i/>
      <w:iCs/>
      <w:sz w:val="18"/>
      <w:szCs w:val="18"/>
    </w:rPr>
  </w:style>
  <w:style w:type="character" w:styleId="TextodecomentrioChar1" w:customStyle="1">
    <w:name w:val="Texto de comentário Char1"/>
    <w:basedOn w:val="DefaultParagraphFont"/>
    <w:uiPriority w:val="99"/>
    <w:qFormat/>
    <w:rsid w:val="00196a7f"/>
    <w:rPr>
      <w:rFonts w:ascii="Ecofont_Spranq_eco_Sans" w:hAnsi="Ecofont_Spranq_eco_Sans" w:cs="Tahoma"/>
      <w:lang w:eastAsia="pt-BR"/>
    </w:rPr>
  </w:style>
  <w:style w:type="character" w:styleId="Nvel4RedChar" w:customStyle="1">
    <w:name w:val="Nível 4-Red Char"/>
    <w:basedOn w:val="DefaultParagraphFont"/>
    <w:link w:val="Nvel4-Red"/>
    <w:qFormat/>
    <w:rsid w:val="00196a7f"/>
    <w:rPr>
      <w:rFonts w:ascii="Arial" w:hAnsi="Arial" w:eastAsia="MS Mincho" w:cs="Arial"/>
      <w:iCs/>
      <w:color w:val="FF0000"/>
    </w:rPr>
  </w:style>
  <w:style w:type="character" w:styleId="Nivel4Char1" w:customStyle="1">
    <w:name w:val="Nivel 4 Char1"/>
    <w:basedOn w:val="DefaultParagraphFont"/>
    <w:qFormat/>
    <w:rsid w:val="00196a7f"/>
    <w:rPr>
      <w:rFonts w:ascii="Arial" w:hAnsi="Arial" w:cs="Arial"/>
      <w:color w:val="000000"/>
      <w:lang w:eastAsia="pt-BR"/>
    </w:rPr>
  </w:style>
  <w:style w:type="character" w:styleId="Estilo7Char" w:customStyle="1">
    <w:name w:val="Estilo7 Char"/>
    <w:basedOn w:val="Nivel2Char"/>
    <w:link w:val="Estilo7"/>
    <w:qFormat/>
    <w:rsid w:val="00196a7f"/>
    <w:rPr>
      <w:rFonts w:ascii="Arial" w:hAnsi="Arial" w:eastAsia="Arial" w:cs="Arial"/>
      <w:i/>
      <w:color w:val="FF0000"/>
      <w:lang w:eastAsia="pt-BR"/>
    </w:rPr>
  </w:style>
  <w:style w:type="character" w:styleId="Estilo8Char" w:customStyle="1">
    <w:name w:val="Estilo8 Char"/>
    <w:basedOn w:val="Nivel3Char"/>
    <w:link w:val="Estilo8"/>
    <w:qFormat/>
    <w:rsid w:val="00196a7f"/>
    <w:rPr>
      <w:rFonts w:ascii="Arial" w:hAnsi="Arial" w:cs="Arial"/>
      <w:i/>
      <w:color w:val="FF0000"/>
      <w:szCs w:val="24"/>
      <w:lang w:eastAsia="pt-BR"/>
    </w:rPr>
  </w:style>
  <w:style w:type="character" w:styleId="Nivel5Char" w:customStyle="1">
    <w:name w:val="Nivel 5 Char"/>
    <w:basedOn w:val="Nivel4Char"/>
    <w:link w:val="Nivel5"/>
    <w:qFormat/>
    <w:rsid w:val="00196a7f"/>
    <w:rPr>
      <w:rFonts w:ascii="Arial" w:hAnsi="Arial" w:cs="Arial"/>
      <w:bCs/>
      <w:i/>
      <w:color w:val="FF0000"/>
      <w:lang w:eastAsia="pt-BR"/>
    </w:rPr>
  </w:style>
  <w:style w:type="character" w:styleId="Estilo9Char" w:customStyle="1">
    <w:name w:val="Estilo9 Char"/>
    <w:basedOn w:val="Nivel5Char"/>
    <w:link w:val="Estilo9"/>
    <w:qFormat/>
    <w:rsid w:val="00196a7f"/>
    <w:rPr>
      <w:rFonts w:ascii="Arial" w:hAnsi="Arial" w:cs="Arial"/>
      <w:bCs/>
      <w:i w:val="false"/>
      <w:color w:val="FF0000"/>
      <w:szCs w:val="24"/>
      <w:lang w:eastAsia="pt-BR"/>
    </w:rPr>
  </w:style>
  <w:style w:type="character" w:styleId="Fontepargpadro">
    <w:name w:val="Fonte parág. padrão"/>
    <w:qFormat/>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99"/>
    <w:unhideWhenUsed/>
    <w:rsid w:val="00d30a43"/>
    <w:pPr>
      <w:spacing w:beforeAutospacing="1" w:afterAutospacing="1"/>
    </w:pPr>
    <w:rPr>
      <w:rFonts w:ascii="Times New Roman" w:hAnsi="Times New Roman" w:eastAsia="Times New Roman" w:cs="Times New Roman"/>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link w:val="PargrafodaListaChar"/>
    <w:uiPriority w:val="34"/>
    <w:qFormat/>
    <w:rsid w:val="004773fc"/>
    <w:pPr>
      <w:spacing w:before="0" w:after="0"/>
      <w:ind w:left="720" w:hanging="0"/>
      <w:contextualSpacing/>
    </w:pPr>
    <w:rPr/>
  </w:style>
  <w:style w:type="paragraph" w:styleId="NormalWeb">
    <w:name w:val="Normal (Web)"/>
    <w:basedOn w:val="Normal"/>
    <w:uiPriority w:val="99"/>
    <w:qFormat/>
    <w:rsid w:val="006b156a"/>
    <w:pPr>
      <w:spacing w:beforeAutospacing="1" w:afterAutospacing="1"/>
    </w:pPr>
    <w:rPr>
      <w:rFonts w:ascii="Times New Roman" w:hAnsi="Times New Roman" w:cs="Times New Roman"/>
    </w:rPr>
  </w:style>
  <w:style w:type="paragraph" w:styleId="BalloonText">
    <w:name w:val="Balloon Text"/>
    <w:basedOn w:val="Normal"/>
    <w:link w:val="TextodebaloChar"/>
    <w:uiPriority w:val="99"/>
    <w:qFormat/>
    <w:rsid w:val="003a73c1"/>
    <w:pPr/>
    <w:rPr>
      <w:rFonts w:ascii="Tahoma" w:hAnsi="Tahoma"/>
      <w:sz w:val="16"/>
      <w:szCs w:val="16"/>
    </w:rPr>
  </w:style>
  <w:style w:type="paragraph" w:styleId="Nvel2" w:customStyle="1">
    <w:name w:val="Nível 2"/>
    <w:basedOn w:val="Normal"/>
    <w:next w:val="Normal"/>
    <w:qFormat/>
    <w:rsid w:val="00d30a43"/>
    <w:pPr>
      <w:spacing w:before="0" w:after="120"/>
      <w:jc w:val="both"/>
    </w:pPr>
    <w:rPr>
      <w:rFonts w:ascii="Arial" w:hAnsi="Arial" w:cs="Times New Roman"/>
      <w:b/>
      <w:szCs w:val="20"/>
    </w:rPr>
  </w:style>
  <w:style w:type="paragraph" w:styleId="Quote">
    <w:name w:val="Quote"/>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hAnsi="Arial" w:eastAsia="Calibri"/>
      <w:i/>
      <w:iCs/>
      <w:color w:val="000000"/>
      <w:sz w:val="20"/>
      <w:lang w:eastAsia="en-US"/>
    </w:rPr>
  </w:style>
  <w:style w:type="paragraph" w:styleId="ListBullet5">
    <w:name w:val="List Bullet 5"/>
    <w:basedOn w:val="Normal"/>
    <w:qFormat/>
    <w:rsid w:val="001a3a05"/>
    <w:pPr>
      <w:numPr>
        <w:ilvl w:val="0"/>
        <w:numId w:val="1"/>
      </w:numPr>
      <w:spacing w:before="0" w:after="0"/>
      <w:contextualSpacing/>
    </w:pPr>
    <w:rPr/>
  </w:style>
  <w:style w:type="paragraph" w:styleId="Notaexplicativa" w:customStyle="1">
    <w:name w:val="Nota explicativa"/>
    <w:basedOn w:val="Quote"/>
    <w:link w:val="NotaexplicativaChar"/>
    <w:qFormat/>
    <w:rsid w:val="00265fb6"/>
    <w:pPr/>
    <w:rPr>
      <w:szCs w:val="20"/>
    </w:rPr>
  </w:style>
  <w:style w:type="paragraph" w:styleId="Cabealhoerodap">
    <w:name w:val="Cabeçalho e rodapé"/>
    <w:basedOn w:val="Normal"/>
    <w:qFormat/>
    <w:pPr/>
    <w:rPr/>
  </w:style>
  <w:style w:type="paragraph" w:styleId="CabealhoeRodap1">
    <w:name w:val="Cabeçalho e Rodapé"/>
    <w:basedOn w:val="Normal"/>
    <w:qFormat/>
    <w:pPr/>
    <w:rPr/>
  </w:style>
  <w:style w:type="paragraph" w:styleId="Cabealho">
    <w:name w:val="Header"/>
    <w:basedOn w:val="Normal"/>
    <w:link w:val="CabealhoChar"/>
    <w:uiPriority w:val="99"/>
    <w:rsid w:val="00ca24fb"/>
    <w:pPr>
      <w:tabs>
        <w:tab w:val="clear" w:pos="709"/>
        <w:tab w:val="center" w:pos="4252" w:leader="none"/>
        <w:tab w:val="right" w:pos="8504" w:leader="none"/>
      </w:tabs>
    </w:pPr>
    <w:rPr/>
  </w:style>
  <w:style w:type="paragraph" w:styleId="Rodap">
    <w:name w:val="Footer"/>
    <w:basedOn w:val="Normal"/>
    <w:link w:val="RodapChar"/>
    <w:uiPriority w:val="99"/>
    <w:rsid w:val="00ca24fb"/>
    <w:pPr>
      <w:tabs>
        <w:tab w:val="clear" w:pos="709"/>
        <w:tab w:val="center" w:pos="4252" w:leader="none"/>
        <w:tab w:val="right" w:pos="8504" w:leader="none"/>
      </w:tabs>
    </w:pPr>
    <w:rPr/>
  </w:style>
  <w:style w:type="paragraph" w:styleId="Annotationtext">
    <w:name w:val="annotation text"/>
    <w:basedOn w:val="Normal"/>
    <w:link w:val="TextodecomentrioChar"/>
    <w:uiPriority w:val="99"/>
    <w:unhideWhenUsed/>
    <w:qFormat/>
    <w:rsid w:val="00d30a43"/>
    <w:pPr/>
    <w:rPr>
      <w:sz w:val="20"/>
      <w:szCs w:val="20"/>
    </w:rPr>
  </w:style>
  <w:style w:type="paragraph" w:styleId="Annotationsubject">
    <w:name w:val="annotation subject"/>
    <w:basedOn w:val="Annotationtext"/>
    <w:next w:val="Annotationtext"/>
    <w:link w:val="AssuntodocomentrioChar"/>
    <w:uiPriority w:val="99"/>
    <w:semiHidden/>
    <w:unhideWhenUsed/>
    <w:qFormat/>
    <w:rsid w:val="00430fdb"/>
    <w:pPr/>
    <w:rPr>
      <w:b/>
      <w:bCs/>
    </w:rPr>
  </w:style>
  <w:style w:type="paragraph" w:styleId="Nivel01" w:customStyle="1">
    <w:name w:val="Nivel 01"/>
    <w:basedOn w:val="ListParagraph"/>
    <w:next w:val="Normal"/>
    <w:link w:val="Nivel01Char"/>
    <w:autoRedefine/>
    <w:qFormat/>
    <w:rsid w:val="003b3af3"/>
    <w:pPr>
      <w:spacing w:lineRule="auto" w:line="276" w:before="360" w:after="120"/>
      <w:ind w:left="357" w:hanging="357"/>
      <w:contextualSpacing w:val="false"/>
      <w:jc w:val="both"/>
      <w:outlineLvl w:val="0"/>
    </w:pPr>
    <w:rPr>
      <w:rFonts w:ascii="Arial" w:hAnsi="Arial" w:eastAsia="Arial" w:cs="Arial"/>
      <w:b/>
      <w:iCs/>
      <w:sz w:val="20"/>
      <w:szCs w:val="20"/>
    </w:rPr>
  </w:style>
  <w:style w:type="paragraph" w:styleId="Nivel01Titulo" w:customStyle="1">
    <w:name w:val="Nivel_01_Titulo"/>
    <w:basedOn w:val="Nivel01"/>
    <w:link w:val="Nivel01TituloChar"/>
    <w:qFormat/>
    <w:rsid w:val="00196a7f"/>
    <w:pPr>
      <w:jc w:val="left"/>
      <w:outlineLvl w:val="9"/>
    </w:pPr>
    <w:rPr>
      <w:rFonts w:cs="" w:cstheme="majorBidi"/>
      <w:spacing w:val="5"/>
      <w:kern w:val="2"/>
      <w:sz w:val="52"/>
      <w:szCs w:val="52"/>
    </w:rPr>
  </w:style>
  <w:style w:type="paragraph" w:styleId="Ttulododocumento">
    <w:name w:val="Title"/>
    <w:basedOn w:val="Normal"/>
    <w:next w:val="Normal"/>
    <w:link w:val="TtuloChar"/>
    <w:qFormat/>
    <w:rsid w:val="007f77ad"/>
    <w:pPr>
      <w:pBdr>
        <w:bottom w:val="single" w:sz="8" w:space="4" w:color="4F81BD"/>
      </w:pBdr>
      <w:spacing w:before="0" w:after="300"/>
      <w:contextualSpacing/>
    </w:pPr>
    <w:rPr>
      <w:rFonts w:ascii="Calibri" w:hAnsi="Calibri" w:eastAsia="" w:cs="" w:asciiTheme="majorHAnsi" w:cstheme="majorBidi" w:eastAsiaTheme="majorEastAsia" w:hAnsiTheme="majorHAnsi"/>
      <w:color w:val="17365D" w:themeColor="text2" w:themeShade="bf"/>
      <w:spacing w:val="5"/>
      <w:kern w:val="2"/>
      <w:sz w:val="52"/>
      <w:szCs w:val="52"/>
    </w:rPr>
  </w:style>
  <w:style w:type="paragraph" w:styleId="PADRO" w:customStyle="1">
    <w:name w:val="PADRÃO"/>
    <w:qFormat/>
    <w:rsid w:val="001e2495"/>
    <w:pPr>
      <w:keepNext w:val="true"/>
      <w:widowControl w:val="false"/>
      <w:shd w:val="clear" w:color="auto" w:fill="FFFFFF"/>
      <w:suppressAutoHyphens w:val="true"/>
      <w:bidi w:val="0"/>
      <w:spacing w:lineRule="auto" w:line="276" w:before="119" w:after="119"/>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styleId="Citao1" w:customStyle="1">
    <w:name w:val="Citação1"/>
    <w:basedOn w:val="Normal"/>
    <w:next w:val="Normal"/>
    <w:link w:val="Quote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i/>
      <w:iCs/>
      <w:color w:val="000000"/>
      <w:sz w:val="20"/>
      <w:szCs w:val="20"/>
      <w:lang w:eastAsia="en-US"/>
    </w:rPr>
  </w:style>
  <w:style w:type="paragraph" w:styleId="Paragraph" w:customStyle="1">
    <w:name w:val="paragraph"/>
    <w:basedOn w:val="Normal"/>
    <w:qFormat/>
    <w:rsid w:val="00d30a43"/>
    <w:pPr>
      <w:spacing w:beforeAutospacing="1" w:afterAutospacing="1"/>
    </w:pPr>
    <w:rPr>
      <w:rFonts w:ascii="Times New Roman" w:hAnsi="Times New Roman" w:eastAsia="Times New Roman" w:cs="Times New Roman"/>
    </w:rPr>
  </w:style>
  <w:style w:type="paragraph" w:styleId="Nivel1" w:customStyle="1">
    <w:name w:val="Nivel1"/>
    <w:basedOn w:val="Ttulo1"/>
    <w:link w:val="Nivel1Char"/>
    <w:qFormat/>
    <w:rsid w:val="00196a7f"/>
    <w:pPr>
      <w:spacing w:lineRule="auto" w:line="276"/>
      <w:ind w:left="357" w:hanging="357"/>
      <w:jc w:val="both"/>
      <w:outlineLvl w:val="9"/>
    </w:pPr>
    <w:rPr>
      <w:rFonts w:cs="Arial"/>
      <w:bCs w:val="false"/>
      <w:color w:val="000000"/>
    </w:rPr>
  </w:style>
  <w:style w:type="paragraph" w:styleId="PargrafodaLista1" w:customStyle="1">
    <w:name w:val="Parágrafo da Lista1"/>
    <w:basedOn w:val="Normal"/>
    <w:qFormat/>
    <w:rsid w:val="00d30a43"/>
    <w:pPr>
      <w:ind w:left="720" w:hanging="0"/>
    </w:pPr>
    <w:rPr>
      <w:rFonts w:eastAsia="Times New Roman" w:cs="Ecofont_Spranq_eco_Sans"/>
    </w:rPr>
  </w:style>
  <w:style w:type="paragraph" w:styleId="Nivel2Opcional" w:customStyle="1">
    <w:name w:val="Nivel 2-Opcional"/>
    <w:basedOn w:val="Normal"/>
    <w:link w:val="Nivel2-OpcionalChar"/>
    <w:autoRedefine/>
    <w:qFormat/>
    <w:rsid w:val="00ee5824"/>
    <w:pPr>
      <w:numPr>
        <w:ilvl w:val="0"/>
        <w:numId w:val="3"/>
      </w:numPr>
      <w:shd w:val="clear" w:color="auto" w:fill="76923C" w:themeFill="accent3" w:themeFillShade="bf"/>
      <w:spacing w:lineRule="auto" w:line="276" w:before="120" w:after="120"/>
      <w:ind w:left="0" w:hanging="0"/>
      <w:jc w:val="both"/>
    </w:pPr>
    <w:rPr>
      <w:rFonts w:ascii="Arial" w:hAnsi="Arial" w:eastAsia="Arial" w:cs="Arial"/>
      <w:i/>
      <w:color w:val="FF0000"/>
      <w:sz w:val="20"/>
      <w:szCs w:val="20"/>
    </w:rPr>
  </w:style>
  <w:style w:type="paragraph" w:styleId="Nivel11" w:customStyle="1">
    <w:name w:val="Nivel 1"/>
    <w:basedOn w:val="Nivel2Opcional"/>
    <w:next w:val="Nivel2Opcional"/>
    <w:qFormat/>
    <w:rsid w:val="00196a7f"/>
    <w:pPr>
      <w:numPr>
        <w:ilvl w:val="0"/>
        <w:numId w:val="0"/>
      </w:numPr>
      <w:ind w:left="360" w:hanging="360"/>
    </w:pPr>
    <w:rPr>
      <w:b/>
    </w:rPr>
  </w:style>
  <w:style w:type="paragraph" w:styleId="Nivel3erro" w:customStyle="1">
    <w:name w:val="Nivel 3-erro"/>
    <w:basedOn w:val="Nivel3"/>
    <w:link w:val="Nivel3-erroChar"/>
    <w:autoRedefine/>
    <w:qFormat/>
    <w:rsid w:val="00196a7f"/>
    <w:pPr>
      <w:numPr>
        <w:ilvl w:val="0"/>
        <w:numId w:val="2"/>
      </w:numPr>
      <w:ind w:left="993" w:hanging="0"/>
    </w:pPr>
    <w:rPr/>
  </w:style>
  <w:style w:type="paragraph" w:styleId="Nivel4" w:customStyle="1">
    <w:name w:val="Nivel 4"/>
    <w:basedOn w:val="Nvel4R"/>
    <w:link w:val="Nivel4Char"/>
    <w:autoRedefine/>
    <w:qFormat/>
    <w:rsid w:val="00196a7f"/>
    <w:pPr/>
    <w:rPr>
      <w:i w:val="false"/>
      <w:color w:val="auto"/>
    </w:rPr>
  </w:style>
  <w:style w:type="paragraph" w:styleId="Nivel5" w:customStyle="1">
    <w:name w:val="Nivel 5"/>
    <w:basedOn w:val="Nvel4R"/>
    <w:link w:val="Nivel5Char"/>
    <w:autoRedefine/>
    <w:qFormat/>
    <w:rsid w:val="00196a7f"/>
    <w:pPr>
      <w:ind w:left="851" w:hanging="0"/>
    </w:pPr>
    <w:rPr/>
  </w:style>
  <w:style w:type="paragraph" w:styleId="Textbody" w:customStyle="1">
    <w:name w:val="textbody"/>
    <w:basedOn w:val="Normal"/>
    <w:qFormat/>
    <w:rsid w:val="00d30a43"/>
    <w:pPr>
      <w:spacing w:beforeAutospacing="1" w:afterAutospacing="1"/>
    </w:pPr>
    <w:rPr>
      <w:rFonts w:ascii="Times New Roman" w:hAnsi="Times New Roman" w:eastAsia="Times New Roman" w:cs="Times New Roman"/>
    </w:rPr>
  </w:style>
  <w:style w:type="paragraph" w:styleId="Em0020ementa" w:customStyle="1">
    <w:name w:val="em_0020ementa"/>
    <w:basedOn w:val="Normal"/>
    <w:qFormat/>
    <w:rsid w:val="00d30a43"/>
    <w:pPr>
      <w:ind w:left="4160" w:hanging="0"/>
      <w:jc w:val="both"/>
    </w:pPr>
    <w:rPr>
      <w:rFonts w:ascii="Times New Roman" w:hAnsi="Times New Roman" w:eastAsia="Times New Roman" w:cs="Times New Roman"/>
      <w:sz w:val="28"/>
      <w:szCs w:val="28"/>
    </w:rPr>
  </w:style>
  <w:style w:type="paragraph" w:styleId="Revision">
    <w:name w:val="Revision"/>
    <w:uiPriority w:val="99"/>
    <w:semiHidden/>
    <w:qFormat/>
    <w:rsid w:val="00d30a43"/>
    <w:pPr>
      <w:widowControl/>
      <w:suppressAutoHyphens w:val="true"/>
      <w:bidi w:val="0"/>
      <w:spacing w:before="0" w:after="0"/>
      <w:jc w:val="left"/>
    </w:pPr>
    <w:rPr>
      <w:rFonts w:ascii="Ecofont_Spranq_eco_Sans" w:hAnsi="Ecofont_Spranq_eco_Sans" w:eastAsia="Times New Roman" w:cs="Tahoma"/>
      <w:color w:val="auto"/>
      <w:kern w:val="0"/>
      <w:sz w:val="24"/>
      <w:szCs w:val="24"/>
      <w:lang w:val="pt-BR" w:eastAsia="pt-BR" w:bidi="ar-SA"/>
    </w:rPr>
  </w:style>
  <w:style w:type="paragraph" w:styleId="Texto1" w:customStyle="1">
    <w:name w:val="texto1"/>
    <w:basedOn w:val="Normal"/>
    <w:qFormat/>
    <w:rsid w:val="00d30a43"/>
    <w:pPr>
      <w:spacing w:beforeAutospacing="1"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hAnsi="Arial" w:eastAsia="Calibri" w:cs="Times New Roman"/>
      <w:i/>
      <w:iCs/>
      <w:color w:val="000000"/>
      <w:sz w:val="20"/>
      <w:lang w:eastAsia="en-US"/>
    </w:rPr>
  </w:style>
  <w:style w:type="paragraph" w:styleId="Xwestern" w:customStyle="1">
    <w:name w:val="x_western"/>
    <w:basedOn w:val="Normal"/>
    <w:qFormat/>
    <w:rsid w:val="00d30a43"/>
    <w:pPr>
      <w:spacing w:beforeAutospacing="1" w:afterAutospacing="1"/>
    </w:pPr>
    <w:rPr>
      <w:rFonts w:ascii="Times New Roman" w:hAnsi="Times New Roman" w:eastAsia="Times New Roman" w:cs="Times New Roman"/>
    </w:rPr>
  </w:style>
  <w:style w:type="paragraph" w:styleId="TCUAcitem90" w:customStyle="1">
    <w:name w:val="TCU - Ac - item 9 - §§_0"/>
    <w:basedOn w:val="Normal"/>
    <w:qFormat/>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qFormat/>
    <w:rsid w:val="00d30a43"/>
    <w:pPr>
      <w:widowControl/>
      <w:suppressAutoHyphens w:val="true"/>
      <w:bidi w:val="0"/>
      <w:spacing w:before="0" w:after="0"/>
      <w:jc w:val="left"/>
    </w:pPr>
    <w:rPr>
      <w:rFonts w:ascii="Times New Roman" w:hAnsi="Times New Roman" w:eastAsia="Times New Roman" w:cs="Times New Roman"/>
      <w:color w:val="auto"/>
      <w:kern w:val="0"/>
      <w:sz w:val="24"/>
      <w:szCs w:val="22"/>
      <w:lang w:val="pt-BR" w:eastAsia="en-US" w:bidi="ar-SA"/>
    </w:rPr>
  </w:style>
  <w:style w:type="paragraph" w:styleId="Tcuacitem91linha" w:customStyle="1">
    <w:name w:val="tcu_-__ac_-_item_9_-_1ª_linha"/>
    <w:basedOn w:val="Normal"/>
    <w:qFormat/>
    <w:rsid w:val="00d30a43"/>
    <w:pPr>
      <w:spacing w:beforeAutospacing="1"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qFormat/>
    <w:rsid w:val="00d30a43"/>
    <w:pPr>
      <w:spacing w:beforeAutospacing="1" w:afterAutospacing="1"/>
    </w:pPr>
    <w:rPr>
      <w:rFonts w:ascii="Times New Roman" w:hAnsi="Times New Roman" w:eastAsia="Times New Roman" w:cs="Times New Roman"/>
    </w:rPr>
  </w:style>
  <w:style w:type="paragraph" w:styleId="Textojustificado" w:customStyle="1">
    <w:name w:val="texto_justificado"/>
    <w:basedOn w:val="Normal"/>
    <w:qFormat/>
    <w:rsid w:val="00d30a43"/>
    <w:pPr>
      <w:spacing w:beforeAutospacing="1" w:afterAutospacing="1"/>
    </w:pPr>
    <w:rPr>
      <w:rFonts w:ascii="Times New Roman" w:hAnsi="Times New Roman" w:eastAsia="Times New Roman" w:cs="Times New Roman"/>
    </w:rPr>
  </w:style>
  <w:style w:type="paragraph" w:styleId="Nvel2Opcional" w:customStyle="1">
    <w:name w:val="Nível 2 Opcional"/>
    <w:basedOn w:val="Nivel2Opcional"/>
    <w:link w:val="Nvel2OpcionalChar"/>
    <w:qFormat/>
    <w:rsid w:val="00196a7f"/>
    <w:pPr>
      <w:numPr>
        <w:ilvl w:val="0"/>
        <w:numId w:val="0"/>
      </w:numPr>
      <w:ind w:left="432" w:hanging="432"/>
    </w:pPr>
    <w:rPr>
      <w:rFonts w:eastAsia="Times New Roman"/>
      <w:i w:val="false"/>
    </w:rPr>
  </w:style>
  <w:style w:type="paragraph" w:styleId="Nvel3Opcional" w:customStyle="1">
    <w:name w:val="Nível 3 Opcional"/>
    <w:basedOn w:val="Nivel3erro"/>
    <w:link w:val="Nvel3OpcionalChar"/>
    <w:qFormat/>
    <w:rsid w:val="00196a7f"/>
    <w:pPr>
      <w:numPr>
        <w:ilvl w:val="0"/>
        <w:numId w:val="0"/>
      </w:numPr>
      <w:ind w:left="1072" w:hanging="504"/>
    </w:pPr>
    <w:rPr>
      <w:rFonts w:eastAsia="Times New Roman"/>
      <w:i/>
      <w:iCs/>
      <w:color w:val="FF0000"/>
    </w:rPr>
  </w:style>
  <w:style w:type="paragraph" w:styleId="SombreamentoMdio1nfase31" w:customStyle="1">
    <w:name w:val="Sombreamento Médio 1 - Ênfase 31"/>
    <w:basedOn w:val="Normal"/>
    <w:next w:val="Normal"/>
    <w:qFormat/>
    <w:rsid w:val="00cb3192"/>
    <w:pPr>
      <w:pBdr>
        <w:top w:val="single" w:sz="4" w:space="1" w:color="000080"/>
        <w:left w:val="single" w:sz="4" w:space="4" w:color="000080"/>
        <w:bottom w:val="single" w:sz="4" w:space="1" w:color="000080"/>
        <w:right w:val="single" w:sz="4" w:space="4" w:color="000080"/>
      </w:pBdr>
      <w:shd w:val="clear" w:color="auto" w:fill="FFFFCC"/>
      <w:suppressAutoHyphens w:val="true"/>
      <w:spacing w:before="120" w:after="0"/>
      <w:jc w:val="both"/>
    </w:pPr>
    <w:rPr>
      <w:rFonts w:eastAsia="Calibri"/>
      <w:i/>
      <w:iCs/>
      <w:color w:val="000000"/>
      <w:sz w:val="20"/>
      <w:lang w:eastAsia="zh-CN"/>
    </w:rPr>
  </w:style>
  <w:style w:type="paragraph" w:styleId="Corpo" w:customStyle="1">
    <w:name w:val="corpo"/>
    <w:basedOn w:val="Normal"/>
    <w:qFormat/>
    <w:rsid w:val="00cb3192"/>
    <w:pPr>
      <w:spacing w:beforeAutospacing="1" w:afterAutospacing="1"/>
    </w:pPr>
    <w:rPr>
      <w:rFonts w:ascii="Times New Roman" w:hAnsi="Times New Roman" w:eastAsia="Times New Roman" w:cs="Times New Roman"/>
    </w:rPr>
  </w:style>
  <w:style w:type="paragraph" w:styleId="Itemnivel2" w:customStyle="1">
    <w:name w:val="item_nivel2"/>
    <w:basedOn w:val="Normal"/>
    <w:qFormat/>
    <w:rsid w:val="00cb3192"/>
    <w:pPr>
      <w:spacing w:beforeAutospacing="1" w:afterAutospacing="1"/>
    </w:pPr>
    <w:rPr>
      <w:rFonts w:ascii="Times New Roman" w:hAnsi="Times New Roman" w:eastAsia="Times New Roman" w:cs="Times New Roman"/>
    </w:rPr>
  </w:style>
  <w:style w:type="paragraph" w:styleId="Itemnivel1" w:customStyle="1">
    <w:name w:val="item_nivel1"/>
    <w:basedOn w:val="Normal"/>
    <w:qFormat/>
    <w:rsid w:val="00cb3192"/>
    <w:pPr>
      <w:spacing w:beforeAutospacing="1" w:afterAutospacing="1"/>
    </w:pPr>
    <w:rPr>
      <w:rFonts w:ascii="Times New Roman" w:hAnsi="Times New Roman" w:eastAsia="Times New Roman" w:cs="Times New Roman"/>
    </w:rPr>
  </w:style>
  <w:style w:type="paragraph" w:styleId="Itemalinealetra" w:customStyle="1">
    <w:name w:val="item_alinea_letra"/>
    <w:basedOn w:val="Normal"/>
    <w:qFormat/>
    <w:rsid w:val="00cb3192"/>
    <w:pPr>
      <w:spacing w:beforeAutospacing="1" w:afterAutospacing="1"/>
    </w:pPr>
    <w:rPr>
      <w:rFonts w:ascii="Times New Roman" w:hAnsi="Times New Roman" w:eastAsia="Times New Roman" w:cs="Times New Roman"/>
    </w:rPr>
  </w:style>
  <w:style w:type="paragraph" w:styleId="Standard" w:customStyle="1">
    <w:name w:val="Standard"/>
    <w:qFormat/>
    <w:rsid w:val="00cb3192"/>
    <w:pPr>
      <w:widowControl/>
      <w:suppressAutoHyphens w:val="true"/>
      <w:bidi w:val="0"/>
      <w:spacing w:before="0" w:after="0"/>
      <w:jc w:val="left"/>
    </w:pPr>
    <w:rPr>
      <w:rFonts w:ascii="Liberation Serif" w:hAnsi="Liberation Serif" w:eastAsia="NSimSun" w:cs="Lucida Sans"/>
      <w:color w:val="auto"/>
      <w:kern w:val="2"/>
      <w:sz w:val="24"/>
      <w:szCs w:val="24"/>
      <w:lang w:val="pt-BR" w:eastAsia="zh-CN" w:bidi="hi-IN"/>
    </w:rPr>
  </w:style>
  <w:style w:type="paragraph" w:styleId="Textbody1" w:customStyle="1">
    <w:name w:val="Text body"/>
    <w:basedOn w:val="Standard"/>
    <w:qFormat/>
    <w:rsid w:val="00cb3192"/>
    <w:pPr>
      <w:spacing w:lineRule="auto" w:line="276" w:before="0" w:after="140"/>
    </w:pPr>
    <w:rPr/>
  </w:style>
  <w:style w:type="paragraph" w:styleId="Ou" w:customStyle="1">
    <w:name w:val="ou"/>
    <w:basedOn w:val="ListParagraph"/>
    <w:link w:val="ouChar"/>
    <w:autoRedefine/>
    <w:qFormat/>
    <w:rsid w:val="00196a7f"/>
    <w:pPr>
      <w:spacing w:lineRule="auto" w:line="259" w:before="60" w:after="60"/>
      <w:ind w:left="0" w:hanging="0"/>
      <w:contextualSpacing w:val="false"/>
      <w:jc w:val="center"/>
    </w:pPr>
    <w:rPr>
      <w:rFonts w:ascii="Arial" w:hAnsi="Arial" w:eastAsia="Cambria" w:cs="Arial" w:eastAsiaTheme="minorHAnsi"/>
      <w:b/>
      <w:bCs/>
      <w:i/>
      <w:iCs/>
      <w:color w:val="FF0000"/>
      <w:sz w:val="20"/>
    </w:rPr>
  </w:style>
  <w:style w:type="paragraph" w:styleId="Douparagraph" w:customStyle="1">
    <w:name w:val="dou-paragraph"/>
    <w:basedOn w:val="Normal"/>
    <w:qFormat/>
    <w:rsid w:val="00cb3192"/>
    <w:pPr>
      <w:spacing w:beforeAutospacing="1" w:afterAutospacing="1"/>
    </w:pPr>
    <w:rPr>
      <w:rFonts w:ascii="Times New Roman" w:hAnsi="Times New Roman" w:eastAsia="Times New Roman" w:cs="Times New Roman"/>
    </w:rPr>
  </w:style>
  <w:style w:type="paragraph" w:styleId="Nvel02" w:customStyle="1">
    <w:name w:val="Nível 02"/>
    <w:basedOn w:val="Nivel2Opcional"/>
    <w:link w:val="Nvel02Char"/>
    <w:autoRedefine/>
    <w:qFormat/>
    <w:rsid w:val="00ea1440"/>
    <w:pPr>
      <w:widowControl/>
      <w:numPr>
        <w:ilvl w:val="0"/>
        <w:numId w:val="7"/>
      </w:numPr>
      <w:shd w:val="clear" w:color="auto" w:fill="auto"/>
      <w:bidi w:val="0"/>
      <w:spacing w:lineRule="auto" w:line="276" w:before="120" w:after="120"/>
      <w:ind w:left="-57" w:right="0" w:hanging="0"/>
      <w:jc w:val="both"/>
    </w:pPr>
    <w:rPr>
      <w:i w:val="false"/>
      <w:iCs/>
      <w:color w:val="000000"/>
    </w:rPr>
  </w:style>
  <w:style w:type="paragraph" w:styleId="Nvel3R" w:customStyle="1">
    <w:name w:val="Nível 3-R"/>
    <w:basedOn w:val="Nivel3erro"/>
    <w:link w:val="Nvel3-RChar"/>
    <w:autoRedefine/>
    <w:qFormat/>
    <w:rsid w:val="00196a7f"/>
    <w:pPr>
      <w:ind w:left="1638" w:hanging="504"/>
    </w:pPr>
    <w:rPr>
      <w:rFonts w:cs="Arial"/>
      <w:i/>
      <w:iCs/>
      <w:color w:val="FF0000"/>
    </w:rPr>
  </w:style>
  <w:style w:type="paragraph" w:styleId="Nvel4R" w:customStyle="1">
    <w:name w:val="Nível 4-R"/>
    <w:basedOn w:val="Nvel3Opcional1"/>
    <w:link w:val="Nvel4-RChar"/>
    <w:autoRedefine/>
    <w:qFormat/>
    <w:rsid w:val="00196a7f"/>
    <w:pPr>
      <w:ind w:left="567" w:hanging="0"/>
    </w:pPr>
    <w:rPr>
      <w:rFonts w:cs="Arial"/>
      <w:bCs/>
      <w:szCs w:val="20"/>
    </w:rPr>
  </w:style>
  <w:style w:type="paragraph" w:styleId="Nvel1SemNum" w:customStyle="1">
    <w:name w:val="Nível 1-Sem Num"/>
    <w:basedOn w:val="Nivel01"/>
    <w:link w:val="Nvel1-SemNumChar"/>
    <w:autoRedefine/>
    <w:qFormat/>
    <w:rsid w:val="00196a7f"/>
    <w:pPr>
      <w:spacing w:before="120" w:after="120"/>
      <w:ind w:left="357" w:hanging="357"/>
      <w:outlineLvl w:val="1"/>
    </w:pPr>
    <w:rPr>
      <w:i/>
      <w:iCs w:val="false"/>
      <w:color w:val="000000"/>
    </w:rPr>
  </w:style>
  <w:style w:type="paragraph" w:styleId="Citao2" w:customStyle="1">
    <w:name w:val="citação 2"/>
    <w:basedOn w:val="Quote"/>
    <w:link w:val="citao2Char"/>
    <w:qFormat/>
    <w:rsid w:val="00dc41dd"/>
    <w:pPr>
      <w:overflowPunct w:val="true"/>
    </w:pPr>
    <w:rPr>
      <w:szCs w:val="20"/>
    </w:rPr>
  </w:style>
  <w:style w:type="paragraph" w:styleId="Prembulo" w:customStyle="1">
    <w:name w:val="Preâmbulo"/>
    <w:basedOn w:val="Normal"/>
    <w:link w:val="PrembuloChar"/>
    <w:qFormat/>
    <w:rsid w:val="00bb19e4"/>
    <w:pPr>
      <w:spacing w:lineRule="auto" w:line="360" w:before="480" w:after="120"/>
      <w:ind w:left="4253" w:right="-17" w:hanging="0"/>
      <w:jc w:val="both"/>
    </w:pPr>
    <w:rPr>
      <w:rFonts w:ascii="Arial" w:hAnsi="Arial" w:eastAsia="Arial" w:cs="Arial"/>
      <w:bCs/>
      <w:sz w:val="20"/>
      <w:szCs w:val="20"/>
    </w:rPr>
  </w:style>
  <w:style w:type="paragraph" w:styleId="Nvel1SemNumerao" w:customStyle="1">
    <w:name w:val="Nível 1-Sem Numeração"/>
    <w:basedOn w:val="Nvel1SemNum"/>
    <w:link w:val="Nvel1-SemNumeraoChar"/>
    <w:autoRedefine/>
    <w:qFormat/>
    <w:rsid w:val="001e22b4"/>
    <w:pPr>
      <w:outlineLvl w:val="9"/>
    </w:pPr>
    <w:rPr>
      <w:b w:val="false"/>
      <w:bCs w:val="false"/>
      <w:i w:val="false"/>
      <w:color w:val="FF0000"/>
    </w:rPr>
  </w:style>
  <w:style w:type="paragraph" w:styleId="Nivel3" w:customStyle="1">
    <w:name w:val="Nivel 3"/>
    <w:basedOn w:val="Normal"/>
    <w:link w:val="Nivel3Char"/>
    <w:qFormat/>
    <w:rsid w:val="00196a7f"/>
    <w:pPr>
      <w:numPr>
        <w:ilvl w:val="0"/>
        <w:numId w:val="5"/>
      </w:numPr>
      <w:spacing w:lineRule="auto" w:line="276" w:before="120" w:after="120"/>
      <w:ind w:left="284" w:hanging="0"/>
      <w:jc w:val="both"/>
    </w:pPr>
    <w:rPr>
      <w:rFonts w:ascii="Arial" w:hAnsi="Arial"/>
      <w:sz w:val="20"/>
    </w:rPr>
  </w:style>
  <w:style w:type="paragraph" w:styleId="Alteraes" w:customStyle="1">
    <w:name w:val="Alterações"/>
    <w:basedOn w:val="Nvel02"/>
    <w:link w:val="AlteraesChar"/>
    <w:uiPriority w:val="1"/>
    <w:qFormat/>
    <w:rsid w:val="00196a7f"/>
    <w:pPr/>
    <w:rPr>
      <w:color w:val="0000FF"/>
    </w:rPr>
  </w:style>
  <w:style w:type="paragraph" w:styleId="Contedodatabela" w:customStyle="1">
    <w:name w:val="Conteúdo da tabela"/>
    <w:basedOn w:val="Normal"/>
    <w:qFormat/>
    <w:rsid w:val="005f7663"/>
    <w:pPr>
      <w:widowControl w:val="false"/>
      <w:suppressLineNumbers/>
      <w:suppressAutoHyphens w:val="true"/>
      <w:textAlignment w:val="baseline"/>
    </w:pPr>
    <w:rPr>
      <w:rFonts w:ascii="Times New Roman" w:hAnsi="Times New Roman" w:eastAsia="SimSun"/>
      <w:kern w:val="2"/>
      <w:lang w:eastAsia="zh-CN" w:bidi="hi-IN"/>
    </w:rPr>
  </w:style>
  <w:style w:type="paragraph" w:styleId="Nivel21" w:customStyle="1">
    <w:name w:val="Nivel 21"/>
    <w:basedOn w:val="Normal"/>
    <w:next w:val="Nivel2Opcional"/>
    <w:autoRedefine/>
    <w:qFormat/>
    <w:rsid w:val="00591ffe"/>
    <w:pPr>
      <w:shd w:val="clear" w:color="auto" w:fill="948A54" w:themeFill="background2" w:themeFillShade="80"/>
      <w:spacing w:lineRule="auto" w:line="276" w:before="120" w:after="120"/>
      <w:ind w:left="999" w:hanging="432"/>
      <w:jc w:val="both"/>
    </w:pPr>
    <w:rPr>
      <w:rFonts w:ascii="Arial" w:hAnsi="Arial" w:eastAsia="Arial" w:cs="Arial"/>
      <w:color w:val="000000" w:themeColor="text1"/>
      <w:sz w:val="20"/>
      <w:szCs w:val="20"/>
    </w:rPr>
  </w:style>
  <w:style w:type="paragraph" w:styleId="Nvel2Opcional1" w:customStyle="1">
    <w:name w:val="Nível 2-Opcional"/>
    <w:basedOn w:val="Nvel02"/>
    <w:link w:val="Nvel2-OpcionalChar"/>
    <w:qFormat/>
    <w:rsid w:val="00a70641"/>
    <w:pPr/>
    <w:rPr>
      <w:i/>
      <w:color w:val="FF0000"/>
    </w:rPr>
  </w:style>
  <w:style w:type="paragraph" w:styleId="Nvel3Opcional1" w:customStyle="1">
    <w:name w:val="Nível 3-Opcional"/>
    <w:basedOn w:val="Nivel3"/>
    <w:link w:val="Nvel3-OpcionalChar"/>
    <w:qFormat/>
    <w:rsid w:val="00a70641"/>
    <w:pPr/>
    <w:rPr>
      <w:i/>
      <w:color w:val="FF0000"/>
    </w:rPr>
  </w:style>
  <w:style w:type="paragraph" w:styleId="Nvel1SemBlack" w:customStyle="1">
    <w:name w:val="Nível 1-Sem Black"/>
    <w:basedOn w:val="Normal"/>
    <w:link w:val="Nvel1-SemBlackChar"/>
    <w:uiPriority w:val="1"/>
    <w:qFormat/>
    <w:rsid w:val="00243342"/>
    <w:pPr>
      <w:keepNext w:val="true"/>
      <w:keepLines/>
      <w:tabs>
        <w:tab w:val="clear" w:pos="709"/>
        <w:tab w:val="left" w:pos="567" w:leader="none"/>
      </w:tabs>
      <w:spacing w:lineRule="auto" w:line="276" w:before="240" w:after="120"/>
      <w:jc w:val="both"/>
      <w:outlineLvl w:val="1"/>
    </w:pPr>
    <w:rPr>
      <w:rFonts w:ascii="Arial" w:hAnsi="Arial" w:eastAsia="" w:cs="Arial" w:eastAsiaTheme="majorEastAsia"/>
      <w:b/>
      <w:bCs/>
      <w:sz w:val="20"/>
      <w:szCs w:val="20"/>
    </w:rPr>
  </w:style>
  <w:style w:type="paragraph" w:styleId="Nivel2" w:customStyle="1">
    <w:name w:val="Nivel 2"/>
    <w:basedOn w:val="Normal"/>
    <w:link w:val="Nivel2Char"/>
    <w:autoRedefine/>
    <w:qFormat/>
    <w:rsid w:val="00196a7f"/>
    <w:pPr>
      <w:spacing w:lineRule="auto" w:line="288" w:before="120" w:after="120"/>
      <w:jc w:val="both"/>
    </w:pPr>
    <w:rPr>
      <w:rFonts w:ascii="Arial" w:hAnsi="Arial" w:eastAsia="Arial" w:cs="Arial"/>
      <w:sz w:val="20"/>
      <w:szCs w:val="20"/>
    </w:rPr>
  </w:style>
  <w:style w:type="paragraph" w:styleId="Nvel2Red" w:customStyle="1">
    <w:name w:val="Nível 2 -Red"/>
    <w:basedOn w:val="Nivel2"/>
    <w:link w:val="Nvel2-RedChar"/>
    <w:qFormat/>
    <w:rsid w:val="00196a7f"/>
    <w:pPr>
      <w:ind w:left="2558" w:hanging="0"/>
    </w:pPr>
    <w:rPr>
      <w:i/>
      <w:iCs/>
      <w:color w:val="FF0000"/>
    </w:rPr>
  </w:style>
  <w:style w:type="paragraph" w:styleId="Nvel1SemNumPreto" w:customStyle="1">
    <w:name w:val="Nível 1-Sem Num Preto"/>
    <w:basedOn w:val="Nvel1SemNum"/>
    <w:link w:val="Nvel1-SemNumPretoChar"/>
    <w:qFormat/>
    <w:rsid w:val="00196a7f"/>
    <w:pPr>
      <w:keepNext w:val="true"/>
      <w:keepLines/>
      <w:tabs>
        <w:tab w:val="clear" w:pos="709"/>
        <w:tab w:val="left" w:pos="567" w:leader="none"/>
      </w:tabs>
      <w:spacing w:before="240" w:after="120"/>
      <w:ind w:left="720" w:hanging="357"/>
      <w:outlineLvl w:val="9"/>
    </w:pPr>
    <w:rPr>
      <w:rFonts w:eastAsia="" w:eastAsiaTheme="majorEastAsia"/>
      <w:bCs/>
      <w:i w:val="false"/>
      <w:iCs/>
      <w:spacing w:val="5"/>
      <w:kern w:val="2"/>
      <w:sz w:val="52"/>
      <w:szCs w:val="52"/>
      <w:lang w:eastAsia="zh-CN" w:bidi="hi-IN"/>
    </w:rPr>
  </w:style>
  <w:style w:type="paragraph" w:styleId="Nvel4Red" w:customStyle="1">
    <w:name w:val="Nível 4-Red"/>
    <w:basedOn w:val="Nivel4"/>
    <w:link w:val="Nvel4-RedChar"/>
    <w:autoRedefine/>
    <w:qFormat/>
    <w:rsid w:val="00196a7f"/>
    <w:pPr>
      <w:numPr>
        <w:ilvl w:val="0"/>
        <w:numId w:val="0"/>
      </w:numPr>
      <w:suppressAutoHyphens w:val="true"/>
      <w:ind w:left="567" w:hanging="0"/>
    </w:pPr>
    <w:rPr>
      <w:rFonts w:eastAsia="MS Mincho"/>
      <w:bCs w:val="false"/>
      <w:iCs/>
      <w:color w:val="FF0000"/>
      <w:lang w:eastAsia="en-US"/>
    </w:rPr>
  </w:style>
  <w:style w:type="paragraph" w:styleId="Estilo7" w:customStyle="1">
    <w:name w:val="Estilo7"/>
    <w:basedOn w:val="Nivel2"/>
    <w:link w:val="Estilo7Char"/>
    <w:qFormat/>
    <w:rsid w:val="00196a7f"/>
    <w:pPr/>
    <w:rPr>
      <w:i/>
      <w:color w:val="FF0000"/>
    </w:rPr>
  </w:style>
  <w:style w:type="paragraph" w:styleId="Estilo8" w:customStyle="1">
    <w:name w:val="Estilo8"/>
    <w:basedOn w:val="Nivel3"/>
    <w:link w:val="Estilo8Char"/>
    <w:qFormat/>
    <w:rsid w:val="00196a7f"/>
    <w:pPr>
      <w:numPr>
        <w:ilvl w:val="0"/>
        <w:numId w:val="0"/>
      </w:numPr>
      <w:ind w:left="1276" w:hanging="0"/>
    </w:pPr>
    <w:rPr>
      <w:rFonts w:cs="Arial"/>
      <w:i/>
      <w:color w:val="FF0000"/>
    </w:rPr>
  </w:style>
  <w:style w:type="paragraph" w:styleId="Estilo9" w:customStyle="1">
    <w:name w:val="Estilo9"/>
    <w:basedOn w:val="Nivel5"/>
    <w:link w:val="Estilo9Char"/>
    <w:qFormat/>
    <w:rsid w:val="00196a7f"/>
    <w:pPr>
      <w:numPr>
        <w:ilvl w:val="0"/>
        <w:numId w:val="0"/>
      </w:numPr>
      <w:ind w:left="1276" w:hanging="360"/>
    </w:pPr>
    <w:rPr>
      <w:i w:val="false"/>
      <w:szCs w:val="24"/>
    </w:rPr>
  </w:style>
  <w:style w:type="paragraph" w:styleId="EstiloNvel2Redesquerda176cmPrimeiralinha0cm" w:customStyle="1">
    <w:name w:val="Estilo Nível 2 -Red + À esquerda:  176 cm Primeira linha:  0 cm"/>
    <w:basedOn w:val="Nvel2Red"/>
    <w:qFormat/>
    <w:rsid w:val="00196a7f"/>
    <w:pPr>
      <w:ind w:left="999" w:hanging="0"/>
    </w:pPr>
    <w:rPr>
      <w:rFonts w:eastAsia="Times New Roman" w:cs="Times New Roman"/>
    </w:rPr>
  </w:style>
  <w:style w:type="paragraph" w:styleId="Textodecomentrio1" w:customStyle="1">
    <w:name w:val="Texto de comentário1"/>
    <w:basedOn w:val="Normal"/>
    <w:next w:val="Annotationtext"/>
    <w:uiPriority w:val="99"/>
    <w:unhideWhenUsed/>
    <w:qFormat/>
    <w:rsid w:val="00196a7f"/>
    <w:pPr/>
    <w:rPr>
      <w:rFonts w:eastAsia="Calibri"/>
      <w:kern w:val="2"/>
      <w:sz w:val="22"/>
      <w:szCs w:val="22"/>
    </w:rPr>
  </w:style>
  <w:style w:type="paragraph" w:styleId="SemEspaamento">
    <w:name w:val="Sem Espaçamento"/>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en-US" w:bidi="ar-SA"/>
    </w:rPr>
  </w:style>
  <w:style w:type="numbering" w:styleId="Semlista" w:default="1">
    <w:name w:val="Sem lista"/>
    <w:uiPriority w:val="99"/>
    <w:semiHidden/>
    <w:unhideWhenUsed/>
    <w:qFormat/>
  </w:style>
  <w:style w:type="numbering" w:styleId="Estilo1" w:customStyle="1">
    <w:name w:val="Estilo1"/>
    <w:uiPriority w:val="99"/>
    <w:qFormat/>
    <w:rsid w:val="008c6874"/>
  </w:style>
  <w:style w:type="numbering" w:styleId="Estilo2" w:customStyle="1">
    <w:name w:val="Estilo2"/>
    <w:uiPriority w:val="99"/>
    <w:qFormat/>
    <w:rsid w:val="00a72b79"/>
  </w:style>
  <w:style w:type="numbering" w:styleId="Estilo3" w:customStyle="1">
    <w:name w:val="Estilo3"/>
    <w:uiPriority w:val="99"/>
    <w:qFormat/>
    <w:rsid w:val="00a72b79"/>
  </w:style>
  <w:style w:type="numbering" w:styleId="Estilo4" w:customStyle="1">
    <w:name w:val="Estilo4"/>
    <w:uiPriority w:val="99"/>
    <w:qFormat/>
    <w:rsid w:val="0054016d"/>
  </w:style>
  <w:style w:type="numbering" w:styleId="Estilo5" w:customStyle="1">
    <w:name w:val="Estilo5"/>
    <w:qFormat/>
    <w:rsid w:val="0054016d"/>
  </w:style>
  <w:style w:type="numbering" w:styleId="Estilo6" w:customStyle="1">
    <w:name w:val="Estilo6"/>
    <w:uiPriority w:val="99"/>
    <w:qFormat/>
    <w:rsid w:val="0054016d"/>
  </w:style>
  <w:style w:type="numbering" w:styleId="Marcador">
    <w:name w:val="Marcador •"/>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omments.xml.rels><?xml version="1.0" encoding="UTF-8"?>
<Relationships xmlns="http://schemas.openxmlformats.org/package/2006/relationships"><Relationship Id="rId1" Type="http://schemas.openxmlformats.org/officeDocument/2006/relationships/hyperlink" Target="https://www.gov.br/pncp/pt-br/catalogo-eletronico-de-padronizacao" TargetMode="External"/><Relationship Id="rId2" Type="http://schemas.openxmlformats.org/officeDocument/2006/relationships/hyperlink" Target="https://www.gov.br/agu/pt-br/composicao/cgu/cgu/guias/gncs_082022.pdf" TargetMode="External"/><Relationship Id="rId3"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2/decreto/D11246.htm" TargetMode="External"/><Relationship Id="rId5" Type="http://schemas.openxmlformats.org/officeDocument/2006/relationships/hyperlink" Target="https://www.gov.br/compras/pt-br/acesso-a-informacao/legislacao/instrucoes-normativas/instrucao-normativa-seges-me-no-77-de-4-de-novembro-de-2022" TargetMode="External"/><Relationship Id="rId6" Type="http://schemas.openxmlformats.org/officeDocument/2006/relationships/hyperlink" Target="http://www.planalto.gov.br/ccivil_03/_ato2019-2022/2021/lei/L14133.htm" TargetMode="External"/><Relationship Id="rId7" Type="http://schemas.openxmlformats.org/officeDocument/2006/relationships/hyperlink" Target="https://www.gov.br/compras/pt-br/acesso-a-informacao/legislacao/instrucoes-normativas/instrucao-normativa-seges-me-no-77-de-4-de-novembro-de-2022" TargetMode="External"/><Relationship Id="rId8" Type="http://schemas.openxmlformats.org/officeDocument/2006/relationships/hyperlink" Target="https://www.gov.br/compras/pt-br/acesso-a-informacao/legislacao/instrucoes-normativas/instrucao-normativa-seges-me-no-77-de-4-de-novembro-de-2022"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65-de-7-de-julho-de-2021" TargetMode="External"/><Relationship Id="rId12" Type="http://schemas.openxmlformats.org/officeDocument/2006/relationships/hyperlink" Target="https://www.gov.br/compras/pt-br/acesso-a-informacao/legislacao/instrucoes-normativas/instrucao-normativa-seges-me-no-81-de-25-de-novembro-de-2022" TargetMode="External"/><Relationship Id="rId13" Type="http://schemas.openxmlformats.org/officeDocument/2006/relationships/hyperlink" Target="https://www.gov.br/compras/pt-br/acesso-a-informacao/legislacao/instrucoes-normativas/instrucao-normativa-no-73-de-5-de-agosto-de-2020" TargetMode="External"/><Relationship Id="rId14" Type="http://schemas.openxmlformats.org/officeDocument/2006/relationships/hyperlink" Target="http://www.planalto.gov.br/ccivil_03/_ato2019-2022/2021/lei/L14133.htm"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259</TotalTime>
  <Application>LibreOffice/7.2.7.2$Windows_X86_64 LibreOffice_project/8d71d29d553c0f7dcbfa38fbfda25ee34cce99a2</Application>
  <AppVersion>15.0000</AppVersion>
  <Pages>20</Pages>
  <Words>5863</Words>
  <Characters>33157</Characters>
  <CharactersWithSpaces>38419</CharactersWithSpaces>
  <Paragraphs>498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2025-03-24T18:22:00Z</dcterms:created>
  <dc:creator/>
  <dc:description/>
  <dc:language>pt-BR</dc:language>
  <cp:lastModifiedBy/>
  <cp:lastPrinted>2025-09-27T10:26:10Z</cp:lastPrinted>
  <dcterms:modified xsi:type="dcterms:W3CDTF">2025-10-14T10:27:09Z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