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07F83B" w14:textId="77777777" w:rsidR="00000000" w:rsidRDefault="00AE24DE">
      <w:pPr>
        <w:pStyle w:val="NormalWeb"/>
        <w:spacing w:before="0" w:after="0" w:line="360" w:lineRule="auto"/>
        <w:rPr>
          <w:rFonts w:ascii="Calibri" w:hAnsi="Calibri" w:cs="Calibri"/>
          <w:sz w:val="22"/>
          <w:szCs w:val="22"/>
          <w:lang w:eastAsia="pt-BR"/>
        </w:rPr>
      </w:pPr>
      <w:bookmarkStart w:id="0" w:name="_GoBack"/>
      <w:bookmarkEnd w:id="0"/>
    </w:p>
    <w:p w14:paraId="7ACAB1BE" w14:textId="77777777" w:rsidR="00000000" w:rsidRDefault="00AE24DE">
      <w:pPr>
        <w:pStyle w:val="NormalWeb"/>
        <w:spacing w:before="0"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pt-BR"/>
        </w:rPr>
        <w:t xml:space="preserve">OFÍCIO N° </w:t>
      </w:r>
      <w:r>
        <w:rPr>
          <w:rFonts w:ascii="Calibri" w:hAnsi="Calibri" w:cs="Calibri"/>
          <w:sz w:val="22"/>
          <w:szCs w:val="22"/>
          <w:shd w:val="clear" w:color="auto" w:fill="FFFF00"/>
          <w:lang w:eastAsia="pt-BR"/>
        </w:rPr>
        <w:t>0</w:t>
      </w:r>
      <w:r>
        <w:commentReference w:id="1"/>
      </w:r>
      <w:r>
        <w:rPr>
          <w:rFonts w:ascii="Calibri" w:hAnsi="Calibri" w:cs="Calibri"/>
          <w:sz w:val="22"/>
          <w:szCs w:val="22"/>
          <w:shd w:val="clear" w:color="auto" w:fill="FFFF00"/>
          <w:lang w:eastAsia="pt-BR"/>
        </w:rPr>
        <w:t>0</w:t>
      </w:r>
      <w:r>
        <w:rPr>
          <w:rFonts w:ascii="Calibri" w:hAnsi="Calibri" w:cs="Calibri"/>
          <w:sz w:val="22"/>
          <w:szCs w:val="22"/>
          <w:lang w:eastAsia="pt-BR"/>
        </w:rPr>
        <w:t>/2024/</w:t>
      </w:r>
      <w:commentRangeStart w:id="2"/>
      <w:r>
        <w:rPr>
          <w:rFonts w:ascii="Calibri" w:hAnsi="Calibri" w:cs="Calibri"/>
          <w:sz w:val="22"/>
          <w:szCs w:val="22"/>
          <w:shd w:val="clear" w:color="auto" w:fill="FFFF00"/>
          <w:lang w:eastAsia="pt-BR"/>
        </w:rPr>
        <w:t>NL</w:t>
      </w:r>
      <w:commentRangeEnd w:id="2"/>
      <w:r>
        <w:commentReference w:id="2"/>
      </w:r>
      <w:r>
        <w:rPr>
          <w:rFonts w:ascii="Calibri" w:hAnsi="Calibri" w:cs="Calibri"/>
          <w:sz w:val="22"/>
          <w:szCs w:val="22"/>
          <w:lang w:eastAsia="pt-BR"/>
        </w:rPr>
        <w:t>/IFBAIANO</w:t>
      </w:r>
    </w:p>
    <w:p w14:paraId="4D11BCB6" w14:textId="77777777" w:rsidR="00000000" w:rsidRDefault="00AE24DE">
      <w:pPr>
        <w:pStyle w:val="NormalWeb"/>
        <w:spacing w:before="0" w:after="0" w:line="360" w:lineRule="auto"/>
        <w:rPr>
          <w:rFonts w:ascii="Calibri" w:hAnsi="Calibri" w:cs="Calibri"/>
          <w:sz w:val="22"/>
          <w:szCs w:val="22"/>
        </w:rPr>
      </w:pPr>
    </w:p>
    <w:p w14:paraId="3C81612B" w14:textId="77777777" w:rsidR="00000000" w:rsidRDefault="00AE24DE">
      <w:pPr>
        <w:pStyle w:val="NoSpacing"/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Teixeira de Freitas, </w:t>
      </w:r>
      <w:r>
        <w:rPr>
          <w:rFonts w:cs="Arial"/>
          <w:shd w:val="clear" w:color="auto" w:fill="FFFF00"/>
        </w:rPr>
        <w:t>00</w:t>
      </w:r>
      <w:r>
        <w:rPr>
          <w:rFonts w:cs="Arial"/>
          <w:shd w:val="clear" w:color="auto" w:fill="FFFF00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hd w:val="clear" w:color="auto" w:fill="FFFF00"/>
        </w:rPr>
        <w:t>mês</w:t>
      </w:r>
      <w:r>
        <w:rPr>
          <w:rFonts w:cs="Arial"/>
        </w:rPr>
        <w:t xml:space="preserve"> de 202</w:t>
      </w:r>
      <w:r>
        <w:rPr>
          <w:rFonts w:cs="Arial"/>
        </w:rPr>
        <w:t>4</w:t>
      </w:r>
      <w:r>
        <w:rPr>
          <w:rFonts w:cs="Arial"/>
        </w:rPr>
        <w:t>.</w:t>
      </w:r>
    </w:p>
    <w:p w14:paraId="4A797A4C" w14:textId="77777777" w:rsidR="00000000" w:rsidRDefault="00AE24DE">
      <w:pPr>
        <w:pStyle w:val="NoSpacing"/>
        <w:rPr>
          <w:rFonts w:cs="Arial"/>
        </w:rPr>
      </w:pPr>
      <w:r>
        <w:rPr>
          <w:rFonts w:cs="Arial"/>
        </w:rPr>
        <w:t>Ao Senhor,</w:t>
      </w:r>
    </w:p>
    <w:p w14:paraId="3155A0FC" w14:textId="77777777" w:rsidR="00000000" w:rsidRDefault="00AE24DE">
      <w:pPr>
        <w:pStyle w:val="NoSpacing"/>
        <w:rPr>
          <w:rFonts w:cs="Arial"/>
        </w:rPr>
      </w:pPr>
      <w:r>
        <w:rPr>
          <w:rFonts w:cs="Arial"/>
        </w:rPr>
        <w:t>João Batista Botton</w:t>
      </w:r>
    </w:p>
    <w:p w14:paraId="3D0DA230" w14:textId="77777777" w:rsidR="00000000" w:rsidRDefault="00AE24DE">
      <w:pPr>
        <w:pStyle w:val="NoSpacing"/>
        <w:rPr>
          <w:rFonts w:cs="Arial"/>
        </w:rPr>
      </w:pPr>
      <w:r>
        <w:rPr>
          <w:rFonts w:cs="Arial"/>
        </w:rPr>
        <w:t>Diretor-Geral</w:t>
      </w:r>
    </w:p>
    <w:p w14:paraId="4F13DF95" w14:textId="77777777" w:rsidR="00000000" w:rsidRDefault="00AE24DE">
      <w:pPr>
        <w:pStyle w:val="NoSpacing"/>
        <w:rPr>
          <w:rFonts w:cs="Arial"/>
        </w:rPr>
      </w:pPr>
      <w:r>
        <w:rPr>
          <w:rFonts w:cs="Arial"/>
        </w:rPr>
        <w:t>Instituto Federal Baiano</w:t>
      </w:r>
    </w:p>
    <w:p w14:paraId="4875304B" w14:textId="77777777" w:rsidR="00000000" w:rsidRDefault="00AE24DE">
      <w:pPr>
        <w:pStyle w:val="NoSpacing"/>
        <w:rPr>
          <w:rFonts w:cs="Arial"/>
        </w:rPr>
      </w:pPr>
      <w:r>
        <w:rPr>
          <w:rFonts w:cs="Arial"/>
        </w:rPr>
        <w:t>Rodovia BR 101, KM 882, S/N</w:t>
      </w:r>
    </w:p>
    <w:p w14:paraId="52CA8CEE" w14:textId="77777777" w:rsidR="00000000" w:rsidRDefault="00AE24DE">
      <w:pPr>
        <w:pStyle w:val="NoSpacing"/>
      </w:pPr>
      <w:r>
        <w:rPr>
          <w:rFonts w:cs="Arial"/>
        </w:rPr>
        <w:t>45985-970 Teixeira de Freitas/BA</w:t>
      </w:r>
    </w:p>
    <w:p w14:paraId="3F8D5E94" w14:textId="77777777" w:rsidR="00000000" w:rsidRDefault="00AE24DE">
      <w:pPr>
        <w:pStyle w:val="NoSpacing"/>
        <w:spacing w:line="360" w:lineRule="auto"/>
        <w:rPr>
          <w:rFonts w:cs="Arial"/>
        </w:rPr>
      </w:pPr>
      <w:r>
        <w:commentReference w:id="3"/>
      </w:r>
    </w:p>
    <w:p w14:paraId="2D721E9F" w14:textId="77777777" w:rsidR="00000000" w:rsidRDefault="00AE24DE">
      <w:pPr>
        <w:pStyle w:val="NoSpacing"/>
        <w:spacing w:line="360" w:lineRule="auto"/>
        <w:rPr>
          <w:rFonts w:cs="Arial"/>
        </w:rPr>
      </w:pPr>
    </w:p>
    <w:p w14:paraId="0E0D7ED9" w14:textId="77777777" w:rsidR="00000000" w:rsidRDefault="00AE24DE">
      <w:pPr>
        <w:pStyle w:val="NoSpacing"/>
        <w:jc w:val="both"/>
        <w:rPr>
          <w:rFonts w:cs="Arial"/>
          <w:b/>
          <w:bCs/>
          <w:shd w:val="clear" w:color="auto" w:fill="FFFF00"/>
        </w:rPr>
      </w:pPr>
      <w:r>
        <w:rPr>
          <w:rFonts w:cs="Arial"/>
        </w:rPr>
        <w:t xml:space="preserve">Assunto: </w:t>
      </w:r>
      <w:r>
        <w:rPr>
          <w:rFonts w:cs="Arial"/>
          <w:b/>
          <w:bCs/>
        </w:rPr>
        <w:t xml:space="preserve">Pregão Eletrônico Tradicional </w:t>
      </w:r>
      <w:r>
        <w:rPr>
          <w:rFonts w:cs="Arial"/>
          <w:b/>
          <w:bCs/>
          <w:shd w:val="clear" w:color="auto" w:fill="FFFF00"/>
        </w:rPr>
        <w:t>ou</w:t>
      </w:r>
      <w:r>
        <w:rPr>
          <w:rFonts w:cs="Arial"/>
          <w:b/>
          <w:bCs/>
        </w:rPr>
        <w:t xml:space="preserve"> Pregão</w:t>
      </w:r>
      <w:r>
        <w:rPr>
          <w:rFonts w:cs="Arial"/>
          <w:b/>
          <w:bCs/>
        </w:rPr>
        <w:t xml:space="preserve"> Eletrônico SRP </w:t>
      </w:r>
      <w:r>
        <w:rPr>
          <w:rFonts w:cs="Arial"/>
          <w:b/>
          <w:bCs/>
          <w:shd w:val="clear" w:color="auto" w:fill="FFFF00"/>
        </w:rPr>
        <w:t>ou</w:t>
      </w:r>
      <w:r>
        <w:rPr>
          <w:rFonts w:cs="Arial"/>
          <w:b/>
          <w:bCs/>
        </w:rPr>
        <w:t xml:space="preserve"> Dispensa de Licitação </w:t>
      </w:r>
      <w:r>
        <w:rPr>
          <w:rFonts w:cs="Arial"/>
          <w:b/>
          <w:bCs/>
          <w:shd w:val="clear" w:color="auto" w:fill="FFFF00"/>
        </w:rPr>
        <w:t>ou</w:t>
      </w:r>
      <w:r>
        <w:rPr>
          <w:rFonts w:cs="Arial"/>
          <w:b/>
          <w:bCs/>
        </w:rPr>
        <w:t xml:space="preserve"> Inexigibilidade n. </w:t>
      </w:r>
      <w:r>
        <w:rPr>
          <w:rFonts w:cs="Arial"/>
          <w:b/>
          <w:bCs/>
          <w:shd w:val="clear" w:color="auto" w:fill="FFFF00"/>
        </w:rPr>
        <w:t>00</w:t>
      </w:r>
      <w:r>
        <w:rPr>
          <w:rFonts w:cs="Arial"/>
          <w:b/>
          <w:bCs/>
        </w:rPr>
        <w:t>/2024</w:t>
      </w:r>
      <w:r>
        <w:rPr>
          <w:rFonts w:cs="Arial"/>
          <w:b/>
          <w:bCs/>
          <w:shd w:val="clear" w:color="auto" w:fill="FFFF00"/>
        </w:rPr>
        <w:t>**</w:t>
      </w:r>
      <w:r>
        <w:rPr>
          <w:rFonts w:cs="Arial"/>
          <w:b/>
          <w:bCs/>
        </w:rPr>
        <w:t xml:space="preserve"> – Aquisição de Microscópio para atender a demanda do Laboratório de Biologia do IF Baiano – </w:t>
      </w:r>
      <w:r>
        <w:rPr>
          <w:rFonts w:cs="Arial"/>
          <w:b/>
          <w:bCs/>
          <w:i/>
          <w:iCs/>
        </w:rPr>
        <w:t xml:space="preserve">Campus </w:t>
      </w:r>
      <w:r>
        <w:rPr>
          <w:rFonts w:cs="Arial"/>
          <w:b/>
          <w:bCs/>
        </w:rPr>
        <w:t xml:space="preserve">Teixeira de Freitas.  </w:t>
      </w:r>
      <w:r>
        <w:rPr>
          <w:rFonts w:cs="Arial"/>
          <w:b/>
          <w:bCs/>
          <w:shd w:val="clear" w:color="auto" w:fill="FFFF00"/>
        </w:rPr>
        <w:t xml:space="preserve">ou </w:t>
      </w:r>
      <w:r>
        <w:rPr>
          <w:rFonts w:cs="Arial"/>
          <w:b/>
          <w:bCs/>
        </w:rPr>
        <w:t>Contratação de empresa especializada na prestação de serviç</w:t>
      </w:r>
      <w:r>
        <w:rPr>
          <w:rFonts w:cs="Arial"/>
          <w:b/>
          <w:bCs/>
        </w:rPr>
        <w:t xml:space="preserve">os de manutenção de aparelhos condicionadores de ar paara atender a demanda do IF Baiano – </w:t>
      </w:r>
      <w:r>
        <w:rPr>
          <w:rFonts w:cs="Arial"/>
          <w:b/>
          <w:bCs/>
          <w:i/>
          <w:iCs/>
        </w:rPr>
        <w:t xml:space="preserve">Campus </w:t>
      </w:r>
      <w:r>
        <w:rPr>
          <w:rFonts w:cs="Arial"/>
          <w:b/>
          <w:bCs/>
        </w:rPr>
        <w:t>Teixeira de Freitas.</w:t>
      </w:r>
    </w:p>
    <w:p w14:paraId="36C81071" w14:textId="77777777" w:rsidR="00000000" w:rsidRDefault="00AE24DE">
      <w:pPr>
        <w:pStyle w:val="NoSpacing"/>
        <w:jc w:val="center"/>
        <w:rPr>
          <w:rFonts w:cs="Arial"/>
          <w:b/>
        </w:rPr>
      </w:pPr>
      <w:r>
        <w:rPr>
          <w:rFonts w:cs="Arial"/>
          <w:b/>
          <w:bCs/>
          <w:shd w:val="clear" w:color="auto" w:fill="FFFF00"/>
        </w:rPr>
        <w:t>ou</w:t>
      </w:r>
      <w:r>
        <w:commentReference w:id="4"/>
      </w:r>
    </w:p>
    <w:p w14:paraId="342B8F13" w14:textId="77777777" w:rsidR="00000000" w:rsidRDefault="00AE24DE">
      <w:pPr>
        <w:pStyle w:val="NoSpacing"/>
        <w:jc w:val="center"/>
        <w:rPr>
          <w:rFonts w:cs="Arial"/>
          <w:b/>
        </w:rPr>
      </w:pPr>
    </w:p>
    <w:p w14:paraId="061CA572" w14:textId="77777777" w:rsidR="00000000" w:rsidRDefault="00AE24DE">
      <w:pPr>
        <w:pStyle w:val="NoSpacing"/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Adesão a </w:t>
      </w:r>
      <w:r>
        <w:rPr>
          <w:rFonts w:cs="Arial"/>
          <w:b/>
          <w:bCs/>
          <w:shd w:val="clear" w:color="auto" w:fill="FFFF00"/>
        </w:rPr>
        <w:t>IRP</w:t>
      </w:r>
      <w:r>
        <w:rPr>
          <w:rFonts w:cs="Arial"/>
          <w:b/>
          <w:bCs/>
        </w:rPr>
        <w:t>/</w:t>
      </w:r>
      <w:r>
        <w:rPr>
          <w:rFonts w:cs="Arial"/>
          <w:b/>
          <w:bCs/>
          <w:shd w:val="clear" w:color="auto" w:fill="FFFF00"/>
        </w:rPr>
        <w:t>ARP</w:t>
      </w:r>
      <w:r>
        <w:rPr>
          <w:rFonts w:cs="Arial"/>
          <w:b/>
          <w:bCs/>
        </w:rPr>
        <w:t xml:space="preserve"> n. </w:t>
      </w:r>
      <w:r>
        <w:rPr>
          <w:rFonts w:cs="Arial"/>
          <w:b/>
          <w:bCs/>
          <w:shd w:val="clear" w:color="auto" w:fill="FFFF00"/>
        </w:rPr>
        <w:t>00</w:t>
      </w:r>
      <w:r>
        <w:rPr>
          <w:rFonts w:cs="Arial"/>
          <w:b/>
          <w:bCs/>
        </w:rPr>
        <w:t>/2024</w:t>
      </w:r>
      <w:r>
        <w:rPr>
          <w:rFonts w:cs="Arial"/>
          <w:b/>
          <w:bCs/>
          <w:shd w:val="clear" w:color="auto" w:fill="FFFF00"/>
        </w:rPr>
        <w:t>**</w:t>
      </w:r>
      <w:r>
        <w:rPr>
          <w:rFonts w:cs="Arial"/>
          <w:b/>
          <w:bCs/>
        </w:rPr>
        <w:t xml:space="preserve">, UASG: 000000, do Instituto Federal do Espírito Santo </w:t>
      </w:r>
      <w:r>
        <w:rPr>
          <w:rFonts w:cs="Arial"/>
          <w:b/>
          <w:bCs/>
          <w:shd w:val="clear" w:color="auto" w:fill="FFFF00"/>
        </w:rPr>
        <w:t>(exemplo)</w:t>
      </w:r>
      <w:r>
        <w:rPr>
          <w:rFonts w:cs="Arial"/>
          <w:b/>
          <w:bCs/>
        </w:rPr>
        <w:t>, Itens: 00 a 00 – Aquisição de Microsc</w:t>
      </w:r>
      <w:r>
        <w:rPr>
          <w:rFonts w:cs="Arial"/>
          <w:b/>
          <w:bCs/>
        </w:rPr>
        <w:t xml:space="preserve">ópio para atender a demanda do Laboratório de Biologia do IF Baiano – </w:t>
      </w:r>
      <w:r>
        <w:rPr>
          <w:rFonts w:cs="Arial"/>
          <w:b/>
          <w:bCs/>
          <w:i/>
          <w:iCs/>
        </w:rPr>
        <w:t xml:space="preserve">Campus </w:t>
      </w:r>
      <w:r>
        <w:rPr>
          <w:rFonts w:cs="Arial"/>
          <w:b/>
          <w:bCs/>
        </w:rPr>
        <w:t>Teixeira de Freitas.</w:t>
      </w:r>
    </w:p>
    <w:p w14:paraId="1403BC37" w14:textId="77777777" w:rsidR="00000000" w:rsidRDefault="00AE24DE">
      <w:pPr>
        <w:pStyle w:val="NoSpacing"/>
        <w:spacing w:after="340"/>
        <w:jc w:val="both"/>
        <w:rPr>
          <w:rFonts w:cs="Arial"/>
          <w:b/>
          <w:bCs/>
        </w:rPr>
      </w:pPr>
    </w:p>
    <w:p w14:paraId="6E584D7D" w14:textId="77777777" w:rsidR="00000000" w:rsidRDefault="00AE24DE">
      <w:pPr>
        <w:pStyle w:val="NoSpacing"/>
        <w:spacing w:after="340"/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  <w:t>Senhor Diretor-Geral,</w:t>
      </w:r>
      <w:r>
        <w:rPr>
          <w:rFonts w:cs="Arial"/>
        </w:rPr>
        <w:tab/>
      </w:r>
    </w:p>
    <w:p w14:paraId="4CA1A780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commentRangeStart w:id="5"/>
      <w:r>
        <w:rPr>
          <w:rFonts w:cs="Arial"/>
          <w:b/>
          <w:bCs/>
        </w:rPr>
        <w:t>Objeto</w:t>
      </w:r>
      <w:commentRangeEnd w:id="5"/>
      <w:r>
        <w:commentReference w:id="5"/>
      </w:r>
      <w:r>
        <w:rPr>
          <w:rFonts w:cs="Arial"/>
          <w:b/>
          <w:bCs/>
        </w:rPr>
        <w:t xml:space="preserve">: </w:t>
      </w:r>
      <w:r>
        <w:rPr>
          <w:rFonts w:cs="Arial"/>
        </w:rPr>
        <w:t xml:space="preserve">Aquisição de </w:t>
      </w:r>
      <w:r>
        <w:rPr>
          <w:rFonts w:cs="Arial"/>
          <w:shd w:val="clear" w:color="auto" w:fill="FFFF00"/>
        </w:rPr>
        <w:t>Microscópio</w:t>
      </w:r>
      <w:r>
        <w:rPr>
          <w:rFonts w:cs="Arial"/>
        </w:rPr>
        <w:t xml:space="preserve"> para atender a demanda do </w:t>
      </w:r>
      <w:r>
        <w:rPr>
          <w:rFonts w:cs="Arial"/>
          <w:shd w:val="clear" w:color="auto" w:fill="FFFF00"/>
        </w:rPr>
        <w:t>Laboratório de Biologia</w:t>
      </w:r>
      <w:r>
        <w:rPr>
          <w:rFonts w:cs="Arial"/>
        </w:rPr>
        <w:t xml:space="preserve"> do IF Baiano – </w:t>
      </w:r>
      <w:r>
        <w:rPr>
          <w:rFonts w:cs="Arial"/>
          <w:i/>
          <w:iCs/>
        </w:rPr>
        <w:t xml:space="preserve">Campus </w:t>
      </w:r>
      <w:r>
        <w:rPr>
          <w:rFonts w:cs="Arial"/>
        </w:rPr>
        <w:t xml:space="preserve">Teixeira de Freitas </w:t>
      </w:r>
      <w:r>
        <w:rPr>
          <w:rFonts w:cs="Arial"/>
          <w:shd w:val="clear" w:color="auto" w:fill="FFFF00"/>
        </w:rPr>
        <w:t>ou</w:t>
      </w:r>
      <w:r>
        <w:rPr>
          <w:rFonts w:cs="Arial"/>
        </w:rPr>
        <w:t xml:space="preserve"> Con</w:t>
      </w:r>
      <w:r>
        <w:rPr>
          <w:rFonts w:cs="Arial"/>
        </w:rPr>
        <w:t xml:space="preserve">tratação de empresa especializada na prestação de </w:t>
      </w:r>
      <w:r>
        <w:rPr>
          <w:rFonts w:cs="Arial"/>
          <w:shd w:val="clear" w:color="auto" w:fill="FFFF00"/>
        </w:rPr>
        <w:t>serviços de dedetização</w:t>
      </w:r>
      <w:r>
        <w:rPr>
          <w:rFonts w:cs="Arial"/>
        </w:rPr>
        <w:t xml:space="preserve"> com fornecimento de insumos para atender a demanda do IF Baiano – </w:t>
      </w:r>
      <w:r>
        <w:rPr>
          <w:rFonts w:cs="Arial"/>
          <w:i/>
          <w:iCs/>
        </w:rPr>
        <w:t>Campus</w:t>
      </w:r>
      <w:r>
        <w:rPr>
          <w:rFonts w:cs="Arial"/>
        </w:rPr>
        <w:t xml:space="preserve"> Teixeira de Freitas.</w:t>
      </w:r>
    </w:p>
    <w:p w14:paraId="70A3B356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commentRangeStart w:id="6"/>
      <w:r>
        <w:rPr>
          <w:rFonts w:cs="Arial"/>
          <w:b/>
          <w:bCs/>
        </w:rPr>
        <w:t>Justificativa</w:t>
      </w:r>
      <w:commentRangeEnd w:id="6"/>
      <w:r>
        <w:commentReference w:id="6"/>
      </w:r>
      <w:r>
        <w:rPr>
          <w:rFonts w:cs="Arial"/>
          <w:b/>
          <w:bCs/>
        </w:rPr>
        <w:t xml:space="preserve">: </w:t>
      </w:r>
      <w:r>
        <w:rPr>
          <w:rFonts w:cs="Arial"/>
        </w:rPr>
        <w:t>Por que precisamos deste produto ou serviço? Para que será utilizado? Qu</w:t>
      </w:r>
      <w:r>
        <w:rPr>
          <w:rFonts w:cs="Arial"/>
        </w:rPr>
        <w:t>al o benefício desta aquisição ou contratação?.</w:t>
      </w:r>
      <w:r>
        <w:commentReference w:id="7"/>
      </w:r>
      <w:r>
        <w:rPr>
          <w:rFonts w:cs="Arial"/>
          <w:b/>
          <w:bCs/>
        </w:rPr>
        <w:t xml:space="preserve"> </w:t>
      </w:r>
      <w:r>
        <w:rPr>
          <w:rFonts w:cs="Arial"/>
          <w:shd w:val="clear" w:color="auto" w:fill="FFFF00"/>
        </w:rPr>
        <w:t>É a parte mais importante da licitação e mais revisada pela auditoria, portanto não serão aceitas justificativas genéricas, discorra sobre.</w:t>
      </w:r>
    </w:p>
    <w:p w14:paraId="5323E247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b/>
          <w:bCs/>
          <w:color w:val="000000"/>
        </w:rPr>
      </w:pPr>
      <w:r>
        <w:rPr>
          <w:rFonts w:cs="Arial"/>
          <w:b/>
          <w:bCs/>
        </w:rPr>
        <w:t>Justificativa da Compra sem Licitação (em caso de Dispensa ou Inexi</w:t>
      </w:r>
      <w:r>
        <w:rPr>
          <w:rFonts w:cs="Arial"/>
          <w:b/>
          <w:bCs/>
        </w:rPr>
        <w:t xml:space="preserve">gibilidade): </w:t>
      </w:r>
      <w:r>
        <w:rPr>
          <w:rFonts w:cs="Arial"/>
          <w:shd w:val="clear" w:color="auto" w:fill="FFFF00"/>
        </w:rPr>
        <w:t>Ex. Baixo valor, baixa complexidade, urgência, etc.</w:t>
      </w:r>
    </w:p>
    <w:p w14:paraId="22AC9756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b/>
          <w:bCs/>
          <w:color w:val="000000"/>
        </w:rPr>
        <w:lastRenderedPageBreak/>
        <w:t xml:space="preserve">Justificativa/Motivo para Adesão à Intenção/Ata de Registro de Preços de outro órgão: </w:t>
      </w:r>
      <w:r>
        <w:rPr>
          <w:color w:val="000000"/>
          <w:shd w:val="clear" w:color="auto" w:fill="FFFF00"/>
        </w:rPr>
        <w:t>Ex.</w:t>
      </w:r>
      <w:r>
        <w:rPr>
          <w:rFonts w:cs="Arial"/>
          <w:shd w:val="clear" w:color="auto" w:fill="FFFF00"/>
        </w:rPr>
        <w:t>Esta adesão à IRP/Ata se dá pela necessidade célere de aquisição dos itens intencionados/registrados d</w:t>
      </w:r>
      <w:r>
        <w:rPr>
          <w:rFonts w:cs="Arial"/>
          <w:shd w:val="clear" w:color="auto" w:fill="FFFF00"/>
        </w:rPr>
        <w:t>a forma mais vantajosa possível para a Administração Pública (discorrer sobre).</w:t>
      </w:r>
    </w:p>
    <w:p w14:paraId="5236740A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Participação preferencial/exclusiva de Micro Empresa – ME/ Empresa de Pequeno Porte – EPP?</w:t>
      </w:r>
      <w:r>
        <w:rPr>
          <w:rFonts w:cs="Arial"/>
        </w:rPr>
        <w:t xml:space="preserve"> Sim ou não? Preferencial ou Exclusiva (vide anotações do Ofício Modelo)? Se não, just</w:t>
      </w:r>
      <w:r>
        <w:rPr>
          <w:rFonts w:cs="Arial"/>
        </w:rPr>
        <w:t>ifique. (Exemplos de justificativas – Não há três fornecedores competitivos, Não é vantajoso para a Administração, Não atingiu os objetivos do art. 1º do Decreto 8.538/15).</w:t>
      </w:r>
      <w:r>
        <w:rPr>
          <w:rFonts w:cs="Arial"/>
        </w:rPr>
        <w:commentReference w:id="8"/>
      </w:r>
    </w:p>
    <w:p w14:paraId="0E0E8D83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commentRangeStart w:id="9"/>
      <w:r>
        <w:rPr>
          <w:rFonts w:cs="Arial"/>
          <w:b/>
          <w:bCs/>
        </w:rPr>
        <w:t>Código</w:t>
      </w:r>
      <w:commentRangeEnd w:id="9"/>
      <w:r>
        <w:commentReference w:id="9"/>
      </w:r>
      <w:r>
        <w:rPr>
          <w:rFonts w:cs="Arial"/>
          <w:b/>
          <w:bCs/>
        </w:rPr>
        <w:t xml:space="preserve"> CATMAT </w:t>
      </w:r>
      <w:r>
        <w:rPr>
          <w:rFonts w:cs="Arial"/>
          <w:b/>
          <w:bCs/>
          <w:shd w:val="clear" w:color="auto" w:fill="FFFF00"/>
        </w:rPr>
        <w:t>ou</w:t>
      </w:r>
      <w:r>
        <w:rPr>
          <w:rFonts w:cs="Arial"/>
          <w:b/>
          <w:bCs/>
        </w:rPr>
        <w:t xml:space="preserve"> CATSER: </w:t>
      </w:r>
      <w:r>
        <w:rPr>
          <w:rFonts w:cs="Arial"/>
        </w:rPr>
        <w:t>Obrigatório, incluir na planilha ao final do ofício. (ht</w:t>
      </w:r>
      <w:r>
        <w:rPr>
          <w:rFonts w:cs="Arial"/>
        </w:rPr>
        <w:t>tps://catalogo.compras.gov.br/cnbs-web/busca).</w:t>
      </w:r>
      <w:r>
        <w:commentReference w:id="10"/>
      </w:r>
      <w:r>
        <w:rPr>
          <w:rFonts w:cs="Arial"/>
        </w:rPr>
        <w:t xml:space="preserve"> </w:t>
      </w:r>
    </w:p>
    <w:p w14:paraId="5F5780F4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Periodicidade do fornecimento ou da prestação dos serviços:</w:t>
      </w:r>
      <w:r>
        <w:rPr>
          <w:rFonts w:cs="Arial"/>
        </w:rPr>
        <w:t xml:space="preserve"> Exemplos: Uma vez (informar prazo de entrega); A cada dois meses. </w:t>
      </w:r>
      <w:r>
        <w:rPr>
          <w:rFonts w:cs="Arial"/>
          <w:shd w:val="clear" w:color="auto" w:fill="FFFF00"/>
        </w:rPr>
        <w:t>Apenas suprima esta seção se não for possível a sua aplicação</w:t>
      </w:r>
      <w:r>
        <w:rPr>
          <w:rFonts w:cs="Arial"/>
        </w:rPr>
        <w:t>.</w:t>
      </w:r>
      <w:r>
        <w:commentReference w:id="11"/>
      </w:r>
    </w:p>
    <w:p w14:paraId="3AFAEA7B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Previsão da data </w:t>
      </w:r>
      <w:r>
        <w:rPr>
          <w:rFonts w:cs="Arial"/>
          <w:b/>
          <w:bCs/>
        </w:rPr>
        <w:t>em que deve ser iniciada a prestação dos serviços ou o fornecimento dos materiais:</w:t>
      </w:r>
      <w:r>
        <w:rPr>
          <w:rFonts w:cs="Arial"/>
        </w:rPr>
        <w:t xml:space="preserve"> Ex. 02/05/2019</w:t>
      </w:r>
      <w:r>
        <w:rPr>
          <w:rFonts w:cs="Arial"/>
        </w:rPr>
        <w:t>; Dez dias úteis da data da solicitação do requisitante ao fornecedor.</w:t>
      </w:r>
      <w:r>
        <w:rPr>
          <w:rFonts w:cs="Arial"/>
        </w:rPr>
        <w:t xml:space="preserve"> </w:t>
      </w:r>
      <w:r>
        <w:rPr>
          <w:rFonts w:cs="Arial"/>
          <w:shd w:val="clear" w:color="auto" w:fill="FFFF00"/>
        </w:rPr>
        <w:t>Apenas suprima esta seção se não for possível a sua aplicação. ATENÇÃO: Um processo lici</w:t>
      </w:r>
      <w:r>
        <w:rPr>
          <w:rFonts w:cs="Arial"/>
          <w:shd w:val="clear" w:color="auto" w:fill="FFFF00"/>
        </w:rPr>
        <w:t>tatório dura em média 03 meses para ser concluído, favor atentar-se a este prazo. Quanto mais completo for este ofício, menor será o tempo de tramitação (excluir esse lembrete).</w:t>
      </w:r>
      <w:r>
        <w:commentReference w:id="12"/>
      </w:r>
    </w:p>
    <w:p w14:paraId="4702425B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Unidade:</w:t>
      </w:r>
      <w:r>
        <w:rPr>
          <w:rFonts w:cs="Arial"/>
        </w:rPr>
        <w:t xml:space="preserve"> Unidade, Litro, Caixa, Caixa com 12 unidades, Metro, etc. A unidade </w:t>
      </w:r>
      <w:r>
        <w:rPr>
          <w:rFonts w:cs="Arial"/>
        </w:rPr>
        <w:t xml:space="preserve">de medida deve ser a mesma cadastrada para o item no CATMAT/CATSER. </w:t>
      </w:r>
      <w:r>
        <w:rPr>
          <w:rFonts w:cs="Arial"/>
          <w:shd w:val="clear" w:color="auto" w:fill="FFFF00"/>
        </w:rPr>
        <w:t>(se estiver na planilha disposta no final da planilha poderá suprimir esta seção)</w:t>
      </w:r>
      <w:r>
        <w:rPr>
          <w:rFonts w:cs="Arial"/>
        </w:rPr>
        <w:t>.</w:t>
      </w:r>
      <w:r>
        <w:commentReference w:id="13"/>
      </w:r>
    </w:p>
    <w:p w14:paraId="3CB87673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Marca:</w:t>
      </w:r>
      <w:r>
        <w:rPr>
          <w:rFonts w:cs="Arial"/>
        </w:rPr>
        <w:t xml:space="preserve"> Marca específica (justificar) ou referencial. Somente especifique a marca, caso tenha justificati</w:t>
      </w:r>
      <w:r>
        <w:rPr>
          <w:rFonts w:cs="Arial"/>
        </w:rPr>
        <w:t xml:space="preserve">va para tanto. </w:t>
      </w:r>
      <w:r>
        <w:rPr>
          <w:rFonts w:cs="Arial"/>
          <w:shd w:val="clear" w:color="auto" w:fill="FFFF00"/>
        </w:rPr>
        <w:t>Apenas suprima esta seção se não for possível a sua aplicação. (se estiver na planilha disposta no final da planilha poderá suprimir esta seção).</w:t>
      </w:r>
      <w:r>
        <w:commentReference w:id="14"/>
      </w:r>
    </w:p>
    <w:p w14:paraId="0BA4E802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Validade ou garantia: </w:t>
      </w:r>
      <w:r>
        <w:rPr>
          <w:rFonts w:cs="Arial"/>
        </w:rPr>
        <w:t xml:space="preserve">Indicar prazo mínimo de validade ou garantia, se necessário. E o início </w:t>
      </w:r>
      <w:r>
        <w:rPr>
          <w:rFonts w:cs="Arial"/>
        </w:rPr>
        <w:t xml:space="preserve">da contagem (se da entrega ou da fabricação). </w:t>
      </w:r>
      <w:r>
        <w:rPr>
          <w:rFonts w:cs="Arial"/>
          <w:shd w:val="clear" w:color="auto" w:fill="FFFF00"/>
        </w:rPr>
        <w:t>Apenas suprima esta seção se não for possível a sua aplicação. (se estiver na planilha disposta no final da planilha poderá suprimir esta seção).</w:t>
      </w:r>
      <w:r>
        <w:commentReference w:id="15"/>
      </w:r>
    </w:p>
    <w:p w14:paraId="50653A1D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Lotes: </w:t>
      </w:r>
      <w:r>
        <w:rPr>
          <w:rFonts w:cs="Arial"/>
          <w:bCs/>
        </w:rPr>
        <w:t>Em regra, a aquisição/contratação deverá ser por item, m</w:t>
      </w:r>
      <w:r>
        <w:rPr>
          <w:rFonts w:cs="Arial"/>
          <w:bCs/>
        </w:rPr>
        <w:t>as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caso </w:t>
      </w:r>
      <w:r>
        <w:rPr>
          <w:rFonts w:cs="Arial"/>
        </w:rPr>
        <w:t>tenha mais de um item, avaliar a necessidade de definição de lotes, ou seja, quais itens devem ser licitados e entregues pelo mesmo fornecedor. No caso de opção por lotes, por ser uma exceção, há necessidade de justificar, indicando a vantajosidade</w:t>
      </w:r>
      <w:r>
        <w:rPr>
          <w:rFonts w:cs="Arial"/>
        </w:rPr>
        <w:t xml:space="preserve"> do agrupamento, como por exemplo a Economia de Escala e/ou Complexidade ou Similaridade entre os itens. Obrigatório preencher se a contratação/aquisição for por lote(s).</w:t>
      </w:r>
    </w:p>
    <w:p w14:paraId="56735CE0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commentRangeStart w:id="16"/>
      <w:r>
        <w:rPr>
          <w:rFonts w:cs="Arial"/>
          <w:b/>
          <w:bCs/>
        </w:rPr>
        <w:t>Indicação</w:t>
      </w:r>
      <w:commentRangeEnd w:id="16"/>
      <w:r>
        <w:commentReference w:id="16"/>
      </w:r>
      <w:r>
        <w:rPr>
          <w:rFonts w:cs="Arial"/>
          <w:b/>
          <w:bCs/>
        </w:rPr>
        <w:t xml:space="preserve"> do responsável pela </w:t>
      </w:r>
      <w:commentRangeStart w:id="17"/>
      <w:r>
        <w:rPr>
          <w:rFonts w:cs="Arial"/>
          <w:b/>
          <w:bCs/>
        </w:rPr>
        <w:t>fiscalização</w:t>
      </w:r>
      <w:commentRangeEnd w:id="17"/>
      <w:r>
        <w:commentReference w:id="17"/>
      </w:r>
      <w:r>
        <w:rPr>
          <w:rFonts w:cs="Arial"/>
          <w:b/>
          <w:bCs/>
        </w:rPr>
        <w:t>:</w:t>
      </w:r>
      <w:r>
        <w:rPr>
          <w:rFonts w:cs="Arial"/>
        </w:rPr>
        <w:t xml:space="preserve"> Indicar o fiscal da contratação</w:t>
      </w:r>
      <w:r>
        <w:rPr>
          <w:rFonts w:cs="Arial"/>
          <w:shd w:val="clear" w:color="auto" w:fill="00FFFF"/>
        </w:rPr>
        <w:t>, o qual</w:t>
      </w:r>
      <w:r>
        <w:rPr>
          <w:rFonts w:cs="Arial"/>
          <w:shd w:val="clear" w:color="auto" w:fill="00FFFF"/>
        </w:rPr>
        <w:t xml:space="preserve"> poderá participar de todas as etapas do planejamento da contratação.</w:t>
      </w:r>
      <w:r>
        <w:rPr>
          <w:rFonts w:cs="Arial"/>
        </w:rPr>
        <w:t xml:space="preserve"> Válido para contratações de serviços ou obras.</w:t>
      </w:r>
      <w:r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cs="Arial"/>
        </w:rPr>
        <w:t xml:space="preserve">O fiscal não pode ser o demandante, nem o gestor do contrato, o conformista e os membros dos setores de licitações, compras e financeiro. </w:t>
      </w:r>
      <w:r>
        <w:rPr>
          <w:rFonts w:cs="Arial"/>
          <w:shd w:val="clear" w:color="auto" w:fill="FFFF00"/>
        </w:rPr>
        <w:t>A</w:t>
      </w:r>
      <w:r>
        <w:rPr>
          <w:rFonts w:cs="Arial"/>
          <w:shd w:val="clear" w:color="auto" w:fill="FFFF00"/>
        </w:rPr>
        <w:t>penas suprima esta seção se não for possível a sua aplicação</w:t>
      </w:r>
      <w:r>
        <w:rPr>
          <w:rFonts w:cs="Arial"/>
        </w:rPr>
        <w:t xml:space="preserve">. </w:t>
      </w:r>
    </w:p>
    <w:p w14:paraId="22BEDE42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b/>
          <w:bCs/>
        </w:rPr>
      </w:pPr>
      <w:r>
        <w:rPr>
          <w:rFonts w:cs="Arial"/>
          <w:b/>
          <w:bCs/>
        </w:rPr>
        <w:t xml:space="preserve">Indicação do responsável pelo ateste da entrega do produto/prestação do serviço e Nota Fiscal: </w:t>
      </w:r>
      <w:r>
        <w:rPr>
          <w:rFonts w:cs="Arial"/>
        </w:rPr>
        <w:t>Nome</w:t>
      </w:r>
      <w:r>
        <w:rPr>
          <w:rFonts w:cs="Arial"/>
        </w:rPr>
        <w:t>.</w:t>
      </w:r>
      <w:r>
        <w:commentReference w:id="18"/>
      </w:r>
      <w:r>
        <w:rPr>
          <w:rFonts w:cs="Arial"/>
        </w:rPr>
        <w:t xml:space="preserve"> </w:t>
      </w:r>
      <w:r>
        <w:rPr>
          <w:rFonts w:cs="Arial"/>
          <w:shd w:val="clear" w:color="auto" w:fill="FFFF00"/>
        </w:rPr>
        <w:t>Obrigatório em todas as contratações.</w:t>
      </w:r>
    </w:p>
    <w:p w14:paraId="0F615E80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b/>
          <w:bCs/>
        </w:rPr>
        <w:t xml:space="preserve">Pesquisa de preços no </w:t>
      </w:r>
      <w:commentRangeStart w:id="19"/>
      <w:r>
        <w:rPr>
          <w:b/>
          <w:bCs/>
        </w:rPr>
        <w:t>mercado</w:t>
      </w:r>
      <w:commentRangeEnd w:id="19"/>
      <w:r>
        <w:commentReference w:id="19"/>
      </w:r>
      <w:r>
        <w:rPr>
          <w:b/>
          <w:bCs/>
        </w:rPr>
        <w:t xml:space="preserve">: </w:t>
      </w:r>
      <w:r>
        <w:t>Seguem em anexo as co</w:t>
      </w:r>
      <w:r>
        <w:t>tações dos produtos ou serviços solicitados em epígrafe, as quais foram realizadas com Fornecedores Especializados, Painel de Preços/Banco de Preços ou Site Especializado Nacional</w:t>
      </w:r>
      <w:r>
        <w:t xml:space="preserve"> (exceto sites como Americanas, Submarino). </w:t>
      </w:r>
      <w:r>
        <w:rPr>
          <w:shd w:val="clear" w:color="auto" w:fill="FFFF00"/>
        </w:rPr>
        <w:t>Recomenda-se p</w:t>
      </w:r>
      <w:r>
        <w:rPr>
          <w:u w:val="single"/>
          <w:shd w:val="clear" w:color="auto" w:fill="FFFF00"/>
        </w:rPr>
        <w:t>ara obtenção do pre</w:t>
      </w:r>
      <w:r>
        <w:rPr>
          <w:u w:val="single"/>
          <w:shd w:val="clear" w:color="auto" w:fill="FFFF00"/>
        </w:rPr>
        <w:t>ço de referência utilizar a Média de preços (p/ Dispensa Eletrônica) e Mediana para as demais modalidades. Em caso de cotação por meio de Painel/Banco de Preços utilizar o parâmetro Menor ou Igual à Mediana (nunca superior à Mediana, Art. 6º, §6º), conform</w:t>
      </w:r>
      <w:r>
        <w:rPr>
          <w:u w:val="single"/>
          <w:shd w:val="clear" w:color="auto" w:fill="FFFF00"/>
        </w:rPr>
        <w:t>e art. 5º, I, da IN SEGES n. 65/2021.</w:t>
      </w:r>
      <w:r>
        <w:rPr>
          <w:shd w:val="clear" w:color="auto" w:fill="FFFF00"/>
        </w:rPr>
        <w:t xml:space="preserve"> Usar no mínimo três cotações.</w:t>
      </w:r>
    </w:p>
    <w:p w14:paraId="257303C8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Análise Crítica dos Preços </w:t>
      </w:r>
      <w:commentRangeStart w:id="20"/>
      <w:r>
        <w:rPr>
          <w:rFonts w:cs="Arial"/>
          <w:b/>
          <w:bCs/>
        </w:rPr>
        <w:t>Coletados</w:t>
      </w:r>
      <w:commentRangeEnd w:id="20"/>
      <w:r>
        <w:commentReference w:id="20"/>
      </w:r>
      <w:r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r>
        <w:rPr>
          <w:rFonts w:cs="Arial"/>
          <w:shd w:val="clear" w:color="auto" w:fill="FFFF00"/>
        </w:rPr>
        <w:t>Fazer a referida análise no documento MODELO DE ANÁLISE CRÍTICA DOS PREÇOS COLETADOS, disponível em:</w:t>
      </w:r>
      <w:r>
        <w:rPr>
          <w:rFonts w:cs="Arial"/>
        </w:rPr>
        <w:t xml:space="preserve"> </w:t>
      </w:r>
      <w:hyperlink r:id="rId9" w:history="1">
        <w:r>
          <w:rPr>
            <w:rStyle w:val="Hyperlink"/>
            <w:rFonts w:cs="Arial"/>
          </w:rPr>
          <w:t>https://meudrive.ifbaiano.edu.br/owncloud/index.php/s/p6e0ok0mWRPyBTo</w:t>
        </w:r>
      </w:hyperlink>
      <w:r>
        <w:rPr>
          <w:rFonts w:cs="Arial"/>
        </w:rPr>
        <w:t xml:space="preserve">). </w:t>
      </w:r>
    </w:p>
    <w:p w14:paraId="4864DABC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  <w:shd w:val="clear" w:color="auto" w:fill="FFFFFF"/>
        </w:rPr>
      </w:pPr>
      <w:r>
        <w:rPr>
          <w:rFonts w:cs="Arial"/>
          <w:b/>
          <w:bCs/>
        </w:rPr>
        <w:t>Justificativa de Escolha dos Fornecedores Pesquisados:</w:t>
      </w:r>
      <w:r>
        <w:rPr>
          <w:rFonts w:cs="Arial"/>
        </w:rPr>
        <w:t xml:space="preserve"> </w:t>
      </w:r>
      <w:r>
        <w:rPr>
          <w:rFonts w:cs="Arial"/>
          <w:shd w:val="clear" w:color="auto" w:fill="FFFF00"/>
        </w:rPr>
        <w:t>Art. 23, IV, Lei 14.133/2021 e Art. 5º, IV, da IN 65/2021.  Em caso de pesquisa direta com</w:t>
      </w:r>
      <w:r>
        <w:rPr>
          <w:rFonts w:cs="Arial"/>
          <w:shd w:val="clear" w:color="auto" w:fill="FFFF00"/>
        </w:rPr>
        <w:t xml:space="preserve"> fornecedores especializados, é necessário justificar o motivo da escolha dos respectivos fornecedores da cotação, qualquer que seja a modalidade de licitação. Exemplos de temas de justificativas: Experiência comprovada; Localização Geográfica; Especializa</w:t>
      </w:r>
      <w:r>
        <w:rPr>
          <w:rFonts w:cs="Arial"/>
          <w:shd w:val="clear" w:color="auto" w:fill="FFFF00"/>
        </w:rPr>
        <w:t>ção do Fornecedor; Preço competitivo; Conformidade com o mercado ou legislações; Credibilidade e Confiabilidade. São apenas exemplos que podem servir de embasamento, não use apenas o tema genericamente, discorra sobre, aplicando ao caso concreto.</w:t>
      </w:r>
    </w:p>
    <w:p w14:paraId="60283849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</w:rPr>
      </w:pPr>
      <w:r>
        <w:rPr>
          <w:rFonts w:cs="Arial"/>
          <w:b/>
          <w:bCs/>
          <w:shd w:val="clear" w:color="auto" w:fill="FFFFFF"/>
        </w:rPr>
        <w:t>Declaraçã</w:t>
      </w:r>
      <w:r>
        <w:rPr>
          <w:rFonts w:cs="Arial"/>
          <w:b/>
          <w:bCs/>
          <w:shd w:val="clear" w:color="auto" w:fill="FFFFFF"/>
        </w:rPr>
        <w:t xml:space="preserve">o de </w:t>
      </w:r>
      <w:r>
        <w:rPr>
          <w:rFonts w:cs="Arial"/>
          <w:b/>
          <w:bCs/>
          <w:u w:val="single"/>
          <w:shd w:val="clear" w:color="auto" w:fill="FFFF00"/>
        </w:rPr>
        <w:t>Bens</w:t>
      </w:r>
      <w:r>
        <w:rPr>
          <w:rFonts w:cs="Arial"/>
          <w:b/>
          <w:bCs/>
          <w:shd w:val="clear" w:color="auto" w:fill="FFFFFF"/>
        </w:rPr>
        <w:t>/</w:t>
      </w:r>
      <w:r>
        <w:rPr>
          <w:rFonts w:cs="Arial"/>
          <w:b/>
          <w:bCs/>
          <w:u w:val="single"/>
          <w:shd w:val="clear" w:color="auto" w:fill="FFFF00"/>
        </w:rPr>
        <w:t>Serviços</w:t>
      </w:r>
      <w:r>
        <w:rPr>
          <w:rFonts w:cs="Arial"/>
          <w:b/>
          <w:bCs/>
          <w:shd w:val="clear" w:color="auto" w:fill="FFFFFF"/>
        </w:rPr>
        <w:t xml:space="preserve"> Comuns:</w:t>
      </w:r>
      <w:r>
        <w:rPr>
          <w:rFonts w:cs="Arial"/>
          <w:shd w:val="clear" w:color="auto" w:fill="FFFFFF"/>
        </w:rPr>
        <w:t xml:space="preserve"> Declaro que o objeto desta licitação, enquadra-se na categoria de </w:t>
      </w:r>
      <w:r>
        <w:rPr>
          <w:rFonts w:cs="Arial"/>
          <w:shd w:val="clear" w:color="auto" w:fill="FFFF00"/>
        </w:rPr>
        <w:t>bens</w:t>
      </w:r>
      <w:r>
        <w:rPr>
          <w:rFonts w:cs="Arial"/>
          <w:shd w:val="clear" w:color="auto" w:fill="FFFFFF"/>
        </w:rPr>
        <w:t>/</w:t>
      </w:r>
      <w:r>
        <w:rPr>
          <w:rFonts w:cs="Arial"/>
          <w:shd w:val="clear" w:color="auto" w:fill="FFFF00"/>
        </w:rPr>
        <w:t>serviços</w:t>
      </w:r>
      <w:r>
        <w:rPr>
          <w:rFonts w:cs="Arial"/>
          <w:shd w:val="clear" w:color="auto" w:fill="FFFFFF"/>
        </w:rPr>
        <w:t xml:space="preserve"> comuns, por possuírem padrões de desempenho e características gerais e específicas usualmente encontradas no mercado. A contratação tem por intuito, </w:t>
      </w:r>
      <w:r>
        <w:rPr>
          <w:rFonts w:cs="Arial"/>
          <w:shd w:val="clear" w:color="auto" w:fill="FFFFFF"/>
        </w:rPr>
        <w:t>respeitando a isonomia entre os licitantes, selecionar a proposta mais vantajosa para a Administração, que garanta a boa qualidade dos produtos ofertados a custos mais reduzidos, contribuindo para diminuição dos gastos governamentais.</w:t>
      </w:r>
    </w:p>
    <w:p w14:paraId="02042822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</w:rPr>
      </w:pPr>
      <w:r>
        <w:rPr>
          <w:rFonts w:cs="Arial"/>
        </w:rPr>
        <w:t>Declaro que estarei d</w:t>
      </w:r>
      <w:r>
        <w:rPr>
          <w:rFonts w:cs="Arial"/>
        </w:rPr>
        <w:t>isponível ou disponibilizarei substituto/servidor para análise das propostas apresentadas pelos licitantes na Sessão Pública do Pregão Eletrônico/Tomada de Preços/</w:t>
      </w:r>
      <w:r>
        <w:rPr>
          <w:rFonts w:cs="Arial"/>
        </w:rPr>
        <w:t>Dispensa Eletrônica</w:t>
      </w:r>
      <w:r>
        <w:rPr>
          <w:rFonts w:cs="Arial"/>
        </w:rPr>
        <w:t xml:space="preserve"> a ser agendada e realizada.</w:t>
      </w:r>
    </w:p>
    <w:p w14:paraId="74844B22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</w:rPr>
      </w:pPr>
      <w:r>
        <w:rPr>
          <w:rFonts w:cs="Arial"/>
        </w:rPr>
        <w:t xml:space="preserve">Declaro que todos os itens solicitados neste </w:t>
      </w:r>
      <w:r>
        <w:rPr>
          <w:rFonts w:cs="Arial"/>
        </w:rPr>
        <w:t xml:space="preserve">documento, foram previamente inseridos no Plano Anual de Contratações – PAC. </w:t>
      </w:r>
      <w:r>
        <w:rPr>
          <w:rFonts w:cs="Arial"/>
          <w:u w:val="single"/>
        </w:rPr>
        <w:t>Segue anexo o comprovante de lançamento no Portal do Comprasnet</w:t>
      </w:r>
      <w:r>
        <w:rPr>
          <w:rFonts w:cs="Arial"/>
        </w:rPr>
        <w:t xml:space="preserve">. </w:t>
      </w:r>
      <w:r>
        <w:rPr>
          <w:rFonts w:cs="Arial"/>
          <w:shd w:val="clear" w:color="auto" w:fill="FFFF00"/>
        </w:rPr>
        <w:t>Essencial que seja apresentado o comprovante ao processo. Caso não tenham sido inseridos, interrompa imediatamente</w:t>
      </w:r>
      <w:r>
        <w:rPr>
          <w:rFonts w:cs="Arial"/>
          <w:shd w:val="clear" w:color="auto" w:fill="FFFF00"/>
        </w:rPr>
        <w:t xml:space="preserve"> o preenchimento deste documento e providencie a inserção, conforme orientações do Manual presente no link a seguir: </w:t>
      </w:r>
      <w:hyperlink r:id="rId10" w:history="1">
        <w:r>
          <w:rPr>
            <w:rStyle w:val="Hyperlink"/>
            <w:rFonts w:cs="Arial"/>
            <w:shd w:val="clear" w:color="auto" w:fill="FFFF00"/>
          </w:rPr>
          <w:t>https://meudrive.ifbaiano.edu.br/owncloud/index.php/s/</w:t>
        </w:r>
        <w:r>
          <w:rPr>
            <w:rStyle w:val="Hyperlink"/>
            <w:rFonts w:cs="Arial"/>
            <w:shd w:val="clear" w:color="auto" w:fill="FFFF00"/>
          </w:rPr>
          <w:t>p6e0ok0mWRPyBTo</w:t>
        </w:r>
      </w:hyperlink>
      <w:r>
        <w:rPr>
          <w:rFonts w:cs="Arial"/>
          <w:shd w:val="clear" w:color="auto" w:fill="FFFF00"/>
        </w:rPr>
        <w:t>).</w:t>
      </w:r>
      <w:r>
        <w:rPr>
          <w:rFonts w:cs="Arial"/>
        </w:rPr>
        <w:t xml:space="preserve"> </w:t>
      </w:r>
    </w:p>
    <w:p w14:paraId="12434CB2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rFonts w:cs="Arial"/>
          <w:b/>
          <w:bCs/>
        </w:rPr>
      </w:pPr>
      <w:r>
        <w:rPr>
          <w:rFonts w:cs="Arial"/>
        </w:rPr>
        <w:t xml:space="preserve">Declaro que elaborei o </w:t>
      </w:r>
      <w:r>
        <w:rPr>
          <w:rFonts w:cs="Arial"/>
          <w:b/>
          <w:bCs/>
        </w:rPr>
        <w:t>Estudo Técnico Preliminar – ETP Digital</w:t>
      </w:r>
      <w:r>
        <w:rPr>
          <w:rFonts w:cs="Arial"/>
        </w:rPr>
        <w:t xml:space="preserve">, por </w:t>
      </w:r>
      <w:r>
        <w:commentReference w:id="21"/>
      </w:r>
      <w:r>
        <w:rPr>
          <w:rFonts w:cs="Arial"/>
        </w:rPr>
        <w:t>meio do sistema Comprasnet (</w:t>
      </w:r>
      <w:r>
        <w:rPr>
          <w:rStyle w:val="Hyperlink"/>
          <w:rFonts w:cs="Arial"/>
        </w:rPr>
        <w:t>https://www.comprasnet.gov.br/seguro/loginPortalUASG.asp</w:t>
      </w:r>
      <w:r>
        <w:rPr>
          <w:rFonts w:cs="Arial"/>
        </w:rPr>
        <w:t xml:space="preserve">) e anexei a esta solicitação o documento PDF gerado ao concluir o Estudo. </w:t>
      </w:r>
      <w:r>
        <w:rPr>
          <w:rFonts w:cs="Arial"/>
          <w:shd w:val="clear" w:color="auto" w:fill="FFFF00"/>
        </w:rPr>
        <w:t>Caso não</w:t>
      </w:r>
      <w:r>
        <w:rPr>
          <w:rFonts w:cs="Arial"/>
          <w:shd w:val="clear" w:color="auto" w:fill="FFFF00"/>
        </w:rPr>
        <w:t xml:space="preserve"> tenha sido realizado, interrompa imediatamente o preenchimento deste documento e providencie a realização, conforme orientações do Manual e no Vídeo (a partir do minuto 00:29) disponíveis nos links a seguir: </w:t>
      </w:r>
      <w:hyperlink r:id="rId11" w:history="1">
        <w:r>
          <w:rPr>
            <w:rStyle w:val="Hyperlink"/>
            <w:rFonts w:cs="Arial"/>
            <w:shd w:val="clear" w:color="auto" w:fill="FFFF00"/>
          </w:rPr>
          <w:t>https://www.gov.br/compras/pt-br/centrais-de-conteudo/manuais/manual-etp-digital</w:t>
        </w:r>
      </w:hyperlink>
      <w:r>
        <w:rPr>
          <w:rFonts w:cs="Arial"/>
          <w:shd w:val="clear" w:color="auto" w:fill="FFFF00"/>
        </w:rPr>
        <w:t xml:space="preserve"> e </w:t>
      </w:r>
      <w:hyperlink r:id="rId12" w:history="1">
        <w:r>
          <w:rPr>
            <w:rStyle w:val="Hyperlink"/>
            <w:rFonts w:cs="Arial"/>
            <w:shd w:val="clear" w:color="auto" w:fill="FFFF00"/>
          </w:rPr>
          <w:t>https://www.youtube.com/watch?v=XdQ6PS_hfNQ&amp;fea</w:t>
        </w:r>
        <w:r>
          <w:rPr>
            <w:rStyle w:val="Hyperlink"/>
            <w:rFonts w:cs="Arial"/>
            <w:shd w:val="clear" w:color="auto" w:fill="FFFF00"/>
          </w:rPr>
          <w:t>ture=youtu.be</w:t>
        </w:r>
      </w:hyperlink>
      <w:r>
        <w:rPr>
          <w:rFonts w:cs="Arial"/>
          <w:shd w:val="clear" w:color="auto" w:fill="FFFF00"/>
        </w:rPr>
        <w:t>. O ETP poderá ser dispensado nas Dispensas de Licitação emergenciais de qualquer valor, ou, tradicionais com valores inferiores a R$ 50.000,00 (bens e serviços comuns) e R$ 100.000,00 (obras e serviços de engenharia).</w:t>
      </w:r>
    </w:p>
    <w:p w14:paraId="3AE1FE17" w14:textId="77777777" w:rsidR="00000000" w:rsidRDefault="00AE24DE">
      <w:pPr>
        <w:pStyle w:val="NoSpacing"/>
        <w:numPr>
          <w:ilvl w:val="0"/>
          <w:numId w:val="2"/>
        </w:numPr>
        <w:suppressLineNumbers/>
        <w:spacing w:after="340"/>
        <w:ind w:left="0" w:firstLine="0"/>
        <w:jc w:val="both"/>
        <w:rPr>
          <w:b/>
          <w:bCs/>
          <w:sz w:val="20"/>
          <w:szCs w:val="20"/>
          <w:shd w:val="clear" w:color="auto" w:fill="FFFF00"/>
        </w:rPr>
      </w:pPr>
      <w:r>
        <w:rPr>
          <w:rFonts w:cs="Arial"/>
          <w:b/>
          <w:bCs/>
        </w:rPr>
        <w:t>Planilha de Itens</w:t>
      </w:r>
      <w:r>
        <w:rPr>
          <w:rFonts w:cs="Arial"/>
        </w:rPr>
        <w:t>:</w:t>
      </w:r>
    </w:p>
    <w:tbl>
      <w:tblPr>
        <w:tblW w:w="0" w:type="auto"/>
        <w:jc w:val="center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610"/>
        <w:gridCol w:w="1270"/>
        <w:gridCol w:w="1100"/>
        <w:gridCol w:w="570"/>
        <w:gridCol w:w="850"/>
        <w:gridCol w:w="490"/>
        <w:gridCol w:w="900"/>
        <w:gridCol w:w="880"/>
        <w:gridCol w:w="1280"/>
        <w:gridCol w:w="998"/>
      </w:tblGrid>
      <w:tr w:rsidR="00000000" w14:paraId="712E11CD" w14:textId="77777777">
        <w:trPr>
          <w:cantSplit/>
          <w:trHeight w:val="1135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D7F64" w14:textId="77777777" w:rsidR="00000000" w:rsidRDefault="00AE24DE">
            <w:pPr>
              <w:pStyle w:val="Contedodatabela"/>
              <w:keepNext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</w:rPr>
              <w:t>Lote</w:t>
            </w:r>
            <w:r>
              <w:rPr>
                <w:b/>
                <w:bCs/>
                <w:sz w:val="20"/>
                <w:szCs w:val="20"/>
                <w:shd w:val="clear" w:color="auto" w:fill="FFFF00"/>
              </w:rPr>
              <w:t>*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6CDA4B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FF6D93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B83D5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Código CATMAT </w:t>
            </w:r>
            <w:r>
              <w:rPr>
                <w:b/>
                <w:bCs/>
                <w:sz w:val="20"/>
                <w:szCs w:val="20"/>
                <w:shd w:val="clear" w:color="auto" w:fill="00FFFF"/>
              </w:rPr>
              <w:t>ou</w:t>
            </w:r>
          </w:p>
          <w:p w14:paraId="349D5DA5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CATSER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1E3F90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928C3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shd w:val="clear" w:color="auto" w:fill="FFFF00"/>
              </w:rPr>
              <w:t>Marca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1DBC8C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D71C6D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Preço unitário médio  </w:t>
            </w:r>
            <w:r>
              <w:rPr>
                <w:b/>
                <w:bCs/>
                <w:sz w:val="20"/>
                <w:szCs w:val="20"/>
                <w:shd w:val="clear" w:color="auto" w:fill="FFFF00"/>
              </w:rPr>
              <w:t>ou</w:t>
            </w:r>
            <w:r>
              <w:rPr>
                <w:b/>
                <w:bCs/>
                <w:sz w:val="20"/>
                <w:szCs w:val="20"/>
              </w:rPr>
              <w:t xml:space="preserve"> preço unitário menor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A6C12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C0CCA6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Periodicidade da entrega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7DB89" w14:textId="77777777" w:rsidR="00000000" w:rsidRDefault="00AE24DE">
            <w:pPr>
              <w:pStyle w:val="Contedodatabela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Prazo mínimo de validade </w:t>
            </w:r>
            <w:r>
              <w:rPr>
                <w:b/>
                <w:bCs/>
                <w:sz w:val="20"/>
                <w:szCs w:val="20"/>
                <w:shd w:val="clear" w:color="auto" w:fill="FFFF00"/>
              </w:rPr>
              <w:t xml:space="preserve">ou </w:t>
            </w:r>
            <w:r>
              <w:rPr>
                <w:b/>
                <w:bCs/>
                <w:sz w:val="20"/>
                <w:szCs w:val="20"/>
              </w:rPr>
              <w:t xml:space="preserve"> garantia</w:t>
            </w:r>
          </w:p>
        </w:tc>
      </w:tr>
      <w:tr w:rsidR="00000000" w14:paraId="3E7229B5" w14:textId="77777777">
        <w:trPr>
          <w:trHeight w:val="2730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6DC90E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C6E100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B27858" w14:textId="77777777" w:rsidR="00000000" w:rsidRDefault="00AE24DE">
            <w:pPr>
              <w:pStyle w:val="Contedodatabela"/>
              <w:widowControl w:val="0"/>
              <w:jc w:val="both"/>
            </w:pPr>
            <w:r>
              <w:rPr>
                <w:color w:val="FF0000"/>
                <w:sz w:val="20"/>
                <w:szCs w:val="20"/>
              </w:rPr>
              <w:t>Exemplo 1</w:t>
            </w:r>
            <w:r>
              <w:rPr>
                <w:color w:val="8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 </w:t>
            </w:r>
            <w:r>
              <w:rPr>
                <w:b/>
                <w:bCs/>
                <w:sz w:val="20"/>
                <w:szCs w:val="20"/>
              </w:rPr>
              <w:t>Cartuchos de Impressoras</w:t>
            </w:r>
            <w:r>
              <w:rPr>
                <w:sz w:val="20"/>
                <w:szCs w:val="20"/>
              </w:rPr>
              <w:t>, cor da tinta preta, compatíveis c</w:t>
            </w:r>
            <w:r>
              <w:rPr>
                <w:sz w:val="20"/>
                <w:szCs w:val="20"/>
              </w:rPr>
              <w:t>om impressoras da marca HP, modelo Ink Advantage.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BF9C6A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461093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E0742F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D61B92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EC8A7B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894D61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R$ 37,90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6A3AAA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R$ 37,90</w:t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59369F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Única vez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912CD8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sz w:val="20"/>
                <w:szCs w:val="20"/>
              </w:rPr>
              <w:t>12 meses</w:t>
            </w:r>
          </w:p>
        </w:tc>
      </w:tr>
      <w:tr w:rsidR="00000000" w14:paraId="4E916F81" w14:textId="77777777">
        <w:trPr>
          <w:trHeight w:val="2260"/>
          <w:jc w:val="center"/>
        </w:trPr>
        <w:tc>
          <w:tcPr>
            <w:tcW w:w="7240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B6CEA2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Valor total da demanda</w:t>
            </w:r>
          </w:p>
        </w:tc>
        <w:tc>
          <w:tcPr>
            <w:tcW w:w="22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21FA70" w14:textId="77777777" w:rsidR="00000000" w:rsidRDefault="00AE24D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0"/>
                <w:szCs w:val="20"/>
              </w:rPr>
              <w:t>R$ 00.000,00</w:t>
            </w:r>
          </w:p>
        </w:tc>
      </w:tr>
    </w:tbl>
    <w:p w14:paraId="3C6F9961" w14:textId="77777777" w:rsidR="00000000" w:rsidRDefault="00AE24DE">
      <w:pPr>
        <w:pStyle w:val="NoSpacing"/>
        <w:spacing w:after="340"/>
        <w:jc w:val="both"/>
        <w:rPr>
          <w:rFonts w:cs="Arial"/>
        </w:rPr>
      </w:pPr>
      <w:r>
        <w:rPr>
          <w:rFonts w:cs="Arial"/>
          <w:shd w:val="clear" w:color="auto" w:fill="FFFF00"/>
        </w:rPr>
        <w:t>*Lote e Marca: eliminar colunas se não aplicável.</w:t>
      </w:r>
    </w:p>
    <w:p w14:paraId="205BFF33" w14:textId="77777777" w:rsidR="00000000" w:rsidRDefault="00AE24DE">
      <w:pPr>
        <w:pStyle w:val="NoSpacing"/>
        <w:spacing w:after="340"/>
        <w:jc w:val="both"/>
        <w:rPr>
          <w:rFonts w:eastAsia="Calibri"/>
          <w:i/>
          <w:iCs/>
          <w:color w:val="000000"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  <w:t>Respeitosamente,</w:t>
      </w:r>
    </w:p>
    <w:p w14:paraId="0459FCA8" w14:textId="77777777" w:rsidR="00000000" w:rsidRDefault="00AE24DE">
      <w:pPr>
        <w:spacing w:after="0" w:line="240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i/>
          <w:iCs/>
          <w:color w:val="000000"/>
          <w:sz w:val="16"/>
          <w:szCs w:val="16"/>
        </w:rPr>
        <w:t>(assinado digitalmente via SUAP)</w:t>
      </w:r>
    </w:p>
    <w:p w14:paraId="0B3E6432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FULANO DE TA</w:t>
      </w:r>
      <w:r>
        <w:rPr>
          <w:rFonts w:eastAsia="Calibri"/>
          <w:b/>
          <w:bCs/>
          <w:color w:val="000000"/>
        </w:rPr>
        <w:t>L</w:t>
      </w:r>
      <w:r>
        <w:commentReference w:id="22"/>
      </w:r>
    </w:p>
    <w:p w14:paraId="73967740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Chefe do Núcleo de ...</w:t>
      </w:r>
    </w:p>
    <w:p w14:paraId="6E69CF14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Portaria n° 1.399 de 25 de maio de 2018</w:t>
      </w:r>
    </w:p>
    <w:p w14:paraId="6C3A23C8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Publicada no DOU em 28 de maio de 2018</w:t>
      </w:r>
    </w:p>
    <w:p w14:paraId="0D7B90B1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E-mail: </w:t>
      </w:r>
      <w:r>
        <w:rPr>
          <w:rFonts w:eastAsia="Calibri"/>
          <w:color w:val="000000"/>
          <w:u w:val="single"/>
        </w:rPr>
        <w:t>fulano.tal</w:t>
      </w:r>
      <w:hyperlink r:id="rId13" w:history="1">
        <w:r>
          <w:rPr>
            <w:rStyle w:val="Hyperlink"/>
            <w:rFonts w:eastAsia="Calibri"/>
            <w:color w:val="000000"/>
          </w:rPr>
          <w:t>@ifbaiano.edu.br</w:t>
        </w:r>
      </w:hyperlink>
    </w:p>
    <w:p w14:paraId="586A9278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CPF: 000.000.000-00</w:t>
      </w:r>
    </w:p>
    <w:p w14:paraId="0B81D9F7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SIAPE 0000000</w:t>
      </w:r>
    </w:p>
    <w:p w14:paraId="0F93A071" w14:textId="77777777" w:rsidR="00000000" w:rsidRDefault="00AE24DE">
      <w:pPr>
        <w:spacing w:after="0" w:line="240" w:lineRule="auto"/>
        <w:jc w:val="center"/>
        <w:rPr>
          <w:rFonts w:eastAsia="Calibri"/>
          <w:color w:val="000000"/>
        </w:rPr>
      </w:pPr>
    </w:p>
    <w:p w14:paraId="2D7EBC02" w14:textId="77777777" w:rsidR="00000000" w:rsidRDefault="00AE24DE">
      <w:pPr>
        <w:spacing w:after="0" w:line="240" w:lineRule="auto"/>
        <w:rPr>
          <w:sz w:val="18"/>
          <w:szCs w:val="18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>1.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Preenche este ofício com o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máximo de informações possíveis, em caso de dúvidas consulte a Equipe de Planejamento de Contratações ou Núcleo de Licitações. (</w:t>
      </w:r>
      <w:hyperlink r:id="rId14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epc@teixeira.ifbaiano.edu.br</w:t>
        </w:r>
      </w:hyperlink>
      <w:hyperlink w:history="1"/>
      <w:r>
        <w:rPr>
          <w:rFonts w:eastAsia="Calibri"/>
          <w:color w:val="000000"/>
          <w:sz w:val="18"/>
          <w:szCs w:val="18"/>
          <w:shd w:val="clear" w:color="auto" w:fill="FFFF00"/>
        </w:rPr>
        <w:t>)</w:t>
      </w:r>
    </w:p>
    <w:p w14:paraId="71FF71F7" w14:textId="77777777" w:rsidR="00000000" w:rsidRDefault="00AE24DE">
      <w:pPr>
        <w:spacing w:after="0" w:line="240" w:lineRule="auto"/>
        <w:rPr>
          <w:sz w:val="18"/>
          <w:szCs w:val="18"/>
        </w:rPr>
      </w:pPr>
    </w:p>
    <w:p w14:paraId="6FC3F761" w14:textId="77777777" w:rsidR="00000000" w:rsidRDefault="00AE24DE">
      <w:pPr>
        <w:spacing w:after="0" w:line="240" w:lineRule="auto"/>
        <w:rPr>
          <w:sz w:val="18"/>
          <w:szCs w:val="18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>2.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Antes de incluir a numer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ação do procedimento (00/2024), solicite ao Núcleo de Licitações.</w:t>
      </w:r>
    </w:p>
    <w:p w14:paraId="4BF63EBF" w14:textId="77777777" w:rsidR="00000000" w:rsidRDefault="00AE24DE">
      <w:pPr>
        <w:spacing w:after="0" w:line="240" w:lineRule="auto"/>
        <w:rPr>
          <w:sz w:val="18"/>
          <w:szCs w:val="18"/>
        </w:rPr>
      </w:pPr>
    </w:p>
    <w:p w14:paraId="40D1FEA0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>3.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Caso crie este ofício no SUAP, não esqueça de manter todas as informações, inclusive dados do servidor requisitante (Portaria, Cargo, CPF e etc.) 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Recomenda-se que seja criado por meio de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ste modelo, após completamente editado, copie e cole no SUAP.</w:t>
      </w:r>
    </w:p>
    <w:p w14:paraId="532226C7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60367449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>4. Lembre-se que para o sucesso da demanda é necessário que as informações necessárias estejam completamente preenchidas, que a descrição dos produtos/serviços correspondam verdadeiramente o qu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e se deseja contratar, e que tenha prazo hábil para trâmite do processo licitatório (mínimo de 3 meses).</w:t>
      </w:r>
    </w:p>
    <w:p w14:paraId="2418061D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48AF4819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>5. Em caso de Pesquisa de Preços direto com o fornecedor especializado para aquisição de bens incomuns ou de maior complexidade ou contratação de serv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iços de todos os tipos, é necessário o envio concomitante do Termo de Referência preenchido para o fornecedor pesquisado, para que o mesmo possua todas os detalhes da demanda, a fim de fornecer um preço devidamente adequado à demanda.</w:t>
      </w:r>
    </w:p>
    <w:p w14:paraId="076DBE74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183013AD" w14:textId="77777777" w:rsidR="00000000" w:rsidRDefault="00AE24DE">
      <w:pPr>
        <w:spacing w:after="0" w:line="240" w:lineRule="auto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076F9BC8" w14:textId="77777777" w:rsidR="00000000" w:rsidRDefault="00AE24DE">
      <w:pPr>
        <w:spacing w:after="0" w:line="240" w:lineRule="auto"/>
        <w:jc w:val="both"/>
        <w:rPr>
          <w:rFonts w:eastAsia="Calibri"/>
          <w:color w:val="000000"/>
          <w:sz w:val="18"/>
          <w:szCs w:val="18"/>
          <w:shd w:val="clear" w:color="auto" w:fill="FFFF00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Banco de Preços: </w:t>
      </w:r>
      <w:hyperlink r:id="rId15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www.bancodeprecos.com.br</w:t>
        </w:r>
      </w:hyperlink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(login: </w:t>
      </w:r>
      <w:hyperlink r:id="rId16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daptdf@ifbaiano.edu.br</w:t>
        </w:r>
      </w:hyperlink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– Senha: dap123 / </w:t>
      </w:r>
      <w:hyperlink r:id="rId17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cristiano.ribas@ifbaiano.edu.br</w:t>
        </w:r>
      </w:hyperlink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 – </w:t>
      </w:r>
      <w:r>
        <w:rPr>
          <w:rFonts w:eastAsia="Calibri"/>
          <w:color w:val="000000"/>
          <w:sz w:val="18"/>
          <w:szCs w:val="18"/>
          <w:shd w:val="clear" w:color="auto" w:fill="FFFF00"/>
        </w:rPr>
        <w:t>Senha: campustdf )</w:t>
      </w:r>
    </w:p>
    <w:p w14:paraId="5FB80984" w14:textId="77777777" w:rsidR="00000000" w:rsidRDefault="00AE24DE">
      <w:pPr>
        <w:spacing w:after="0" w:line="240" w:lineRule="auto"/>
        <w:jc w:val="both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32520032" w14:textId="77777777" w:rsidR="00000000" w:rsidRDefault="00AE24DE">
      <w:pPr>
        <w:spacing w:after="0" w:line="240" w:lineRule="auto"/>
        <w:jc w:val="both"/>
        <w:rPr>
          <w:rFonts w:eastAsia="Calibri"/>
          <w:color w:val="000000"/>
          <w:sz w:val="18"/>
          <w:szCs w:val="18"/>
          <w:shd w:val="clear" w:color="auto" w:fill="FFFF00"/>
        </w:rPr>
      </w:pP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Consulta a IRP – Intenção de Registro de Preços: </w:t>
      </w:r>
      <w:hyperlink r:id="rId18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https://www2.comprasnet.gov.br/siasgnet-irp/consultarIRPComprasNet.do?method=iniciar</w:t>
        </w:r>
      </w:hyperlink>
    </w:p>
    <w:p w14:paraId="0EDE3F94" w14:textId="77777777" w:rsidR="00000000" w:rsidRDefault="00AE24DE">
      <w:pPr>
        <w:spacing w:after="0" w:line="240" w:lineRule="auto"/>
        <w:jc w:val="both"/>
        <w:rPr>
          <w:rFonts w:eastAsia="Calibri"/>
          <w:color w:val="000000"/>
          <w:sz w:val="18"/>
          <w:szCs w:val="18"/>
          <w:shd w:val="clear" w:color="auto" w:fill="FFFF00"/>
        </w:rPr>
      </w:pPr>
    </w:p>
    <w:p w14:paraId="7F39DA31" w14:textId="77777777" w:rsidR="00000000" w:rsidRDefault="00AE24DE">
      <w:pPr>
        <w:spacing w:after="0" w:line="240" w:lineRule="auto"/>
        <w:jc w:val="both"/>
      </w:pPr>
      <w:r>
        <w:rPr>
          <w:rFonts w:eastAsia="Calibri"/>
          <w:color w:val="000000"/>
          <w:sz w:val="18"/>
          <w:szCs w:val="18"/>
          <w:shd w:val="clear" w:color="auto" w:fill="FFFF00"/>
        </w:rPr>
        <w:t xml:space="preserve">Consulta a ARP – Ata de Registro de Preços: </w:t>
      </w:r>
      <w:hyperlink r:id="rId19" w:history="1">
        <w:r>
          <w:rPr>
            <w:rStyle w:val="Hyperlink"/>
            <w:rFonts w:eastAsia="Calibri"/>
            <w:color w:val="000000"/>
            <w:sz w:val="18"/>
            <w:szCs w:val="18"/>
            <w:shd w:val="clear" w:color="auto" w:fill="FFFF00"/>
          </w:rPr>
          <w:t>https://www2.comprasnet.gov.br/siasgnet-atasrp/public/principal.do</w:t>
        </w:r>
      </w:hyperlink>
    </w:p>
    <w:p w14:paraId="69748A4D" w14:textId="77777777" w:rsidR="00000000" w:rsidRDefault="00AE24DE">
      <w:pPr>
        <w:spacing w:after="0" w:line="240" w:lineRule="auto"/>
        <w:jc w:val="both"/>
      </w:pPr>
    </w:p>
    <w:p w14:paraId="36EA9998" w14:textId="77777777" w:rsidR="00000000" w:rsidRDefault="00AE24DE">
      <w:pPr>
        <w:spacing w:after="0" w:line="240" w:lineRule="auto"/>
        <w:jc w:val="both"/>
      </w:pPr>
    </w:p>
    <w:sectPr w:rsidR="00000000">
      <w:headerReference w:type="default" r:id="rId20"/>
      <w:footerReference w:type="default" r:id="rId21"/>
      <w:pgSz w:w="11906" w:h="16838"/>
      <w:pgMar w:top="3295" w:right="567" w:bottom="2070" w:left="567" w:header="567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 desconhecido" w:date="2019-01-04T12:12:00Z" w:initials="">
    <w:p w14:paraId="61132C17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Número do memorad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o do setor demandante.</w:t>
      </w:r>
    </w:p>
    <w:p w14:paraId="378F6052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PROTOCOLAR VIA SUAP</w:t>
      </w:r>
    </w:p>
    <w:p w14:paraId="126F0E32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SUGIRO UTILIZAR O LIBREOFFICE</w:t>
      </w:r>
    </w:p>
  </w:comment>
  <w:comment w:id="2" w:author="Autor desconhecido" w:date="2019-02-07T19:41:00Z" w:initials="">
    <w:p w14:paraId="498056ED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  <w:t>Setor demandante</w:t>
      </w:r>
    </w:p>
  </w:comment>
  <w:comment w:id="3" w:author="Autor desconhecido" w:date="2019-01-04T10:35:00Z" w:initials="">
    <w:p w14:paraId="5B9395DE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Chefia Imediata</w:t>
      </w:r>
    </w:p>
  </w:comment>
  <w:comment w:id="4" w:author="Autor desconhecido" w:date="2019-01-04T12:00:00Z" w:initials="">
    <w:p w14:paraId="47E94256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Este assunto será o mesmo a ser utilizado no SUAP. Usar apenas a opção de assunto relacionado ao tipo de demanda que deseja.</w:t>
      </w:r>
    </w:p>
    <w:p w14:paraId="5AA2AB2B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...</w:t>
      </w:r>
    </w:p>
    <w:p w14:paraId="2D8D66DD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b/>
          <w:sz w:val="20"/>
          <w:szCs w:val="24"/>
          <w:lang w:val="x-none" w:eastAsia="x-none" w:bidi="hi-IN"/>
        </w:rPr>
        <w:t>CONFIRMAR O TIPO E</w:t>
      </w:r>
      <w:r>
        <w:rPr>
          <w:rFonts w:ascii="Liberation Serif" w:eastAsia="SimSun" w:hAnsi="Liberation Serif" w:cs="Mangal"/>
          <w:b/>
          <w:sz w:val="20"/>
          <w:szCs w:val="24"/>
          <w:lang w:val="x-none" w:eastAsia="x-none" w:bidi="hi-IN"/>
        </w:rPr>
        <w:t xml:space="preserve"> O NÚMERO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 DO PROCEDIMENTO COM O NÚCLEO DE LICITAÇÃO ANTES DE PREENCHER. </w:t>
      </w:r>
    </w:p>
  </w:comment>
  <w:comment w:id="5" w:author="Lucena SSA Ana" w:date="2021-02-19T17:31:00Z" w:initials="">
    <w:p w14:paraId="24B008C0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Liberation Serif"/>
          <w:bCs/>
          <w:sz w:val="24"/>
          <w:szCs w:val="24"/>
          <w:lang w:val="x-none" w:eastAsia="pt-BR" w:bidi="x-none"/>
        </w:rPr>
      </w:pPr>
      <w:r>
        <w:annotationRef/>
      </w:r>
      <w:r>
        <w:rPr>
          <w:rFonts w:ascii="Liberation Serif" w:eastAsia="Segoe UI" w:hAnsi="Liberation Serif" w:cs="Tahoma"/>
          <w:sz w:val="24"/>
          <w:szCs w:val="24"/>
          <w:lang w:val="x-none" w:eastAsia="x-none" w:bidi="x-none"/>
        </w:rPr>
        <w:t xml:space="preserve">Para iniciar o processo licitatório preencher este ofício com o máximo de informações possíveis e enviar para </w:t>
      </w:r>
      <w:hyperlink r:id="rId1" w:history="1">
        <w:r>
          <w:rPr>
            <w:rFonts w:ascii="Liberation Serif" w:eastAsia="Segoe UI" w:hAnsi="Liberation Serif" w:cs="Tahoma"/>
            <w:sz w:val="24"/>
            <w:szCs w:val="24"/>
            <w:lang w:val="x-none" w:eastAsia="x-none" w:bidi="x-none"/>
          </w:rPr>
          <w:t>epc@teixeira.ifbaiano</w:t>
        </w:r>
        <w:r>
          <w:rPr>
            <w:rFonts w:ascii="Liberation Serif" w:eastAsia="Segoe UI" w:hAnsi="Liberation Serif" w:cs="Tahoma"/>
            <w:sz w:val="24"/>
            <w:szCs w:val="24"/>
            <w:lang w:val="x-none" w:eastAsia="x-none" w:bidi="x-none"/>
          </w:rPr>
          <w:t>.edu.br</w:t>
        </w:r>
      </w:hyperlink>
      <w:r>
        <w:rPr>
          <w:rFonts w:ascii="Arial" w:eastAsia="Segoe UI" w:hAnsi="Arial" w:cs="Arial"/>
          <w:bCs/>
          <w:sz w:val="24"/>
          <w:szCs w:val="24"/>
          <w:lang w:val="x-none" w:eastAsia="pt-BR" w:bidi="x-none"/>
        </w:rPr>
        <w:t xml:space="preserve"> </w:t>
      </w:r>
      <w:r>
        <w:rPr>
          <w:rFonts w:ascii="Liberation Serif" w:eastAsia="Segoe UI" w:hAnsi="Liberation Serif" w:cs="Liberation Serif"/>
          <w:bCs/>
          <w:sz w:val="24"/>
          <w:szCs w:val="24"/>
          <w:lang w:val="x-none" w:eastAsia="pt-BR" w:bidi="x-none"/>
        </w:rPr>
        <w:t>para acionar a Equipe de Planejamento da Contratação. Os demais itens serão preenchidos durante o processo de planejamento.</w:t>
      </w:r>
    </w:p>
  </w:comment>
  <w:comment w:id="6" w:author="Lucena SSA Ana" w:date="2021-02-19T15:18:00Z" w:initials="">
    <w:p w14:paraId="104C66C6" w14:textId="77777777" w:rsidR="00000000" w:rsidRDefault="00AE24DE">
      <w:pPr>
        <w:overflowPunct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</w:pPr>
      <w:r>
        <w:annotationRef/>
      </w:r>
      <w:r>
        <w:rPr>
          <w:rFonts w:ascii="Arial" w:eastAsia="Arial" w:hAnsi="Arial" w:cs="Arial"/>
          <w:color w:val="000000"/>
          <w:lang w:val="x-none" w:eastAsia="pt-BR" w:bidi="x-none"/>
        </w:rPr>
        <w:t>J</w:t>
      </w:r>
      <w:r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  <w:t>ustificativa da necessidade da contratação, explicitando a opção pela terceirização dos serviços, se for este o tipo de s</w:t>
      </w:r>
      <w:r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  <w:t>erviço, e considerando o Planejamento Estratégico, se for o caso.</w:t>
      </w:r>
    </w:p>
  </w:comment>
  <w:comment w:id="7" w:author="Autor desconhecido" w:date="2019-01-04T12:02:00Z" w:initials="">
    <w:p w14:paraId="5E0F762C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Conforme previsto na Súmula 177 do TCU, a justificativa há de ser clara, precisa e suficiente, sendo </w:t>
      </w:r>
      <w:r>
        <w:rPr>
          <w:rFonts w:ascii="Liberation Serif" w:eastAsia="SimSun" w:hAnsi="Liberation Serif" w:cs="Mangal"/>
          <w:b/>
          <w:color w:val="CE181E"/>
          <w:sz w:val="20"/>
          <w:szCs w:val="24"/>
          <w:u w:val="single"/>
          <w:lang w:val="x-none" w:eastAsia="x-none" w:bidi="hi-IN"/>
        </w:rPr>
        <w:t>vedadas justificativas genéricas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, incapazes de demonstrar de forma cabal a necessidade d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a Administração. Obrigatório responder as três perguntas de forma objetiva.</w:t>
      </w:r>
    </w:p>
    <w:p w14:paraId="12355153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  <w:p w14:paraId="227DA0BD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A FALTA DE JUSTIFICATIVA SUFICIENTE OU A PRESENÇA DE JUSTIFICATIVA GENÉRICA SÃO ALGUMAS DAS PRINCIPAIS CAUSAS DE RESPONSABILIZAÇÃO CÍVEL, CRIMINAL E ADMINISTRATIVA. </w:t>
      </w:r>
    </w:p>
    <w:p w14:paraId="488C465B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  <w:p w14:paraId="4873E6C7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O NÚCLEO DE 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LICITAÇÃO NÃO SE RESPONSABILIZA PELO PREENCHIMENTO INCORRETO.</w:t>
      </w:r>
    </w:p>
  </w:comment>
  <w:comment w:id="8" w:author="Autor desconhecido" w:date="2022-05-05T11:00:00Z" w:initials="">
    <w:p w14:paraId="21693257" w14:textId="77777777" w:rsidR="00000000" w:rsidRDefault="00AE24DE">
      <w:pPr>
        <w:spacing w:after="0" w:line="240" w:lineRule="auto"/>
        <w:rPr>
          <w:rFonts w:ascii="Liberation Serif" w:eastAsia="SimSun" w:hAnsi="Liberation Serif" w:cs="Mangal"/>
          <w:sz w:val="20"/>
          <w:szCs w:val="24"/>
          <w:lang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bidi="hi-IN"/>
        </w:rPr>
        <w:t>A Lei Complementar 123/2006 estabelece que as licitações com valores de até R$ 80.000,00, devem ser direcionadas EXCLUSIVAMENTE a Empresas de Pequeno Porte - EPP ou Micro Empresas - ME. Neste s</w:t>
      </w:r>
      <w:r>
        <w:rPr>
          <w:rFonts w:ascii="Liberation Serif" w:eastAsia="SimSun" w:hAnsi="Liberation Serif" w:cs="Mangal"/>
          <w:sz w:val="20"/>
          <w:szCs w:val="24"/>
          <w:lang w:bidi="hi-IN"/>
        </w:rPr>
        <w:t>entido, as contratações com valor igual ou inferior a R$ 80.000,00 devem ser destinadas a essas empresas. Do contrário, deverá haver justificativa.</w:t>
      </w:r>
    </w:p>
    <w:p w14:paraId="5BBD0979" w14:textId="77777777" w:rsidR="00000000" w:rsidRDefault="00AE24DE">
      <w:pPr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  <w:p w14:paraId="7E2146F0" w14:textId="77777777" w:rsidR="00000000" w:rsidRDefault="00AE24DE">
      <w:pPr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  <w:p w14:paraId="5DAB592D" w14:textId="77777777" w:rsidR="00000000" w:rsidRDefault="00AE24DE">
      <w:pPr>
        <w:spacing w:after="0" w:line="240" w:lineRule="auto"/>
        <w:rPr>
          <w:rFonts w:ascii="Liberation Serif" w:eastAsia="SimSun" w:hAnsi="Liberation Serif" w:cs="Mangal"/>
          <w:sz w:val="20"/>
          <w:szCs w:val="24"/>
          <w:lang w:bidi="hi-IN"/>
        </w:rPr>
      </w:pPr>
      <w:r>
        <w:rPr>
          <w:rFonts w:ascii="Liberation Serif" w:eastAsia="SimSun" w:hAnsi="Liberation Serif" w:cs="Mangal"/>
          <w:sz w:val="20"/>
          <w:szCs w:val="24"/>
          <w:lang w:bidi="hi-IN"/>
        </w:rPr>
        <w:t>Dispensas e Inexigibilidade, motivadas nos incisos I e II do art. 24 da Lei 8.666, deverão ser direcionada</w:t>
      </w:r>
      <w:r>
        <w:rPr>
          <w:rFonts w:ascii="Liberation Serif" w:eastAsia="SimSun" w:hAnsi="Liberation Serif" w:cs="Mangal"/>
          <w:sz w:val="20"/>
          <w:szCs w:val="24"/>
          <w:lang w:bidi="hi-IN"/>
        </w:rPr>
        <w:t>s PREFERENCIALMENTE à ME's e EPP's.</w:t>
      </w:r>
    </w:p>
  </w:comment>
  <w:comment w:id="9" w:author="Lucena SSA Ana" w:date="2021-02-19T15:25:00Z" w:initials="">
    <w:p w14:paraId="1188F415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Tahoma"/>
          <w:sz w:val="24"/>
          <w:szCs w:val="24"/>
          <w:lang w:val="x-none" w:eastAsia="x-none" w:bidi="x-none"/>
        </w:rPr>
      </w:pPr>
      <w:r>
        <w:annotationRef/>
      </w:r>
      <w:r>
        <w:rPr>
          <w:rFonts w:ascii="Liberation Serif" w:eastAsia="Segoe UI" w:hAnsi="Liberation Serif" w:cs="Tahoma"/>
          <w:sz w:val="24"/>
          <w:szCs w:val="24"/>
          <w:lang w:val="x-none" w:eastAsia="x-none" w:bidi="x-none"/>
        </w:rPr>
        <w:t xml:space="preserve">Se for escolhido CATMAT (material) deverá ser cotado como bem e a nota fiscal deverá ser desse tipo e se for CATSER (serviço) deverá ser cotado como serviço e a nota fiscal deverá ser de serviço. </w:t>
      </w:r>
    </w:p>
  </w:comment>
  <w:comment w:id="10" w:author="Autor desconhecido" w:date="2019-01-04T12:03:00Z" w:initials="">
    <w:p w14:paraId="4E089036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A inclusão reduz o ri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sco de lançamento sistêmico de produto diverso.</w:t>
      </w:r>
    </w:p>
  </w:comment>
  <w:comment w:id="11" w:author="Autor desconhecido" w:date="2019-01-04T12:03:00Z" w:initials="">
    <w:p w14:paraId="39914581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Incluir apenas se for necessário. Utilizado geralmente para gêneros alimentícios.</w:t>
      </w:r>
    </w:p>
  </w:comment>
  <w:comment w:id="12" w:author="Autor desconhecido" w:date="2019-01-04T12:04:00Z" w:initials="">
    <w:p w14:paraId="15243032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Obrigatório para serviços e opcional para materiais.</w:t>
      </w:r>
    </w:p>
  </w:comment>
  <w:comment w:id="13" w:author="Autor desconhecido" w:date="2019-01-04T12:06:00Z" w:initials="">
    <w:p w14:paraId="2859A8D6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Indicar a forma unitária de cada produto. Obrigatório.</w:t>
      </w:r>
    </w:p>
  </w:comment>
  <w:comment w:id="14" w:author="Autor desconhecido" w:date="2019-01-04T12:06:00Z" w:initials="">
    <w:p w14:paraId="12AED5D6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Pode indicar u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ma marca específica se for imprescindível ou indicar uma marca apenas como referência. Atenção, indicar apenas se for essencial para a contratação.</w:t>
      </w:r>
    </w:p>
  </w:comment>
  <w:comment w:id="15" w:author="Autor desconhecido" w:date="2019-01-04T12:07:00Z" w:initials="">
    <w:p w14:paraId="584E4024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Utilizados geralmente para produtos perecíveis ou eletrônicos. </w:t>
      </w:r>
    </w:p>
  </w:comment>
  <w:comment w:id="16" w:author="Lucena SSA Ana" w:date="2021-02-19T17:10:00Z" w:initials="">
    <w:p w14:paraId="4CFF9745" w14:textId="77777777" w:rsidR="00000000" w:rsidRDefault="00AE24DE">
      <w:pPr>
        <w:overflowPunct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</w:pPr>
      <w:r>
        <w:annotationRef/>
      </w:r>
      <w:r>
        <w:rPr>
          <w:rFonts w:ascii="Arial" w:eastAsia="Arial" w:hAnsi="Arial" w:cs="Arial"/>
          <w:color w:val="000000"/>
          <w:sz w:val="24"/>
          <w:szCs w:val="24"/>
          <w:lang w:val="x-none" w:eastAsia="en-US" w:bidi="x-none"/>
        </w:rPr>
        <w:t>Para indicação do especialista e fiscal, o</w:t>
      </w:r>
      <w:r>
        <w:rPr>
          <w:rFonts w:ascii="Arial" w:eastAsia="Arial" w:hAnsi="Arial" w:cs="Arial"/>
          <w:color w:val="000000"/>
          <w:sz w:val="24"/>
          <w:szCs w:val="24"/>
          <w:lang w:val="x-none" w:eastAsia="en-US" w:bidi="x-none"/>
        </w:rPr>
        <w:t xml:space="preserve">bservar o disposto na IN 05/2017, § 1º do art. 22, </w:t>
      </w:r>
      <w:r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  <w:t>a equipe de Planejamento da Contratação é o conjunto de servidores, que reúnem as competências necessárias à completa execução das etapas de Planejamento da Contratação, o que inclui conhecimentos sobre as</w:t>
      </w:r>
      <w:r>
        <w:rPr>
          <w:rFonts w:ascii="Arial" w:eastAsia="Arial" w:hAnsi="Arial" w:cs="Arial"/>
          <w:color w:val="000000"/>
          <w:sz w:val="24"/>
          <w:szCs w:val="24"/>
          <w:lang w:val="x-none" w:eastAsia="x-none" w:bidi="x-none"/>
        </w:rPr>
        <w:t>pectos técnicos e de uso do objeto, licitações e contratos, dentre outros. Para o servidor auxiliar observar de forma preferencial.</w:t>
      </w:r>
    </w:p>
    <w:p w14:paraId="045B0504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</w:comment>
  <w:comment w:id="17" w:author="NOVO" w:date="2020-09-29T11:42:00Z" w:initials="">
    <w:p w14:paraId="32DC20DA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4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4"/>
          <w:szCs w:val="24"/>
          <w:lang w:val="x-none" w:eastAsia="x-none" w:bidi="hi-IN"/>
        </w:rPr>
        <w:t>Indicar apenas se for necessário</w:t>
      </w:r>
    </w:p>
  </w:comment>
  <w:comment w:id="18" w:author="Autor desconhecido" w:date="2019-02-04T09:05:00Z" w:initials="">
    <w:p w14:paraId="41E52017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Responsável pelo acompanhamento do recebimento do material ou da execução do serviço. De</w:t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ve indicar o servidor responsável pelo ateste da NF.</w:t>
      </w:r>
    </w:p>
  </w:comment>
  <w:comment w:id="19" w:author="NOVO" w:date="2020-09-29T11:42:00Z" w:initials="">
    <w:p w14:paraId="0E0CE47B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  <w:t xml:space="preserve">Ordem de preferência de Pesquisa de Preços: </w:t>
      </w:r>
    </w:p>
    <w:p w14:paraId="1FA5F929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  <w:t>1 – Painel/Banco de Preços;</w:t>
      </w:r>
    </w:p>
    <w:p w14:paraId="3D544F65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color w:val="000000"/>
          <w:sz w:val="20"/>
          <w:szCs w:val="24"/>
          <w:lang w:val="x-none" w:eastAsia="x-none" w:bidi="hi-IN"/>
        </w:rPr>
        <w:t>2 – Fornecedores Especializados.</w:t>
      </w:r>
    </w:p>
  </w:comment>
  <w:comment w:id="20" w:author="NOVO" w:date="2020-09-29T11:38:00Z" w:initials="">
    <w:p w14:paraId="6676A3B1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</w:pPr>
      <w:r>
        <w:annotationRef/>
      </w:r>
      <w:r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  <w:t xml:space="preserve">Conforme exigência da Procuradoria Federal do IF Baiano, destacamos que a colheita de cotações </w:t>
      </w:r>
      <w:r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  <w:t xml:space="preserve">não é suficiente para a composição dos preços. Além disso, é necessário que os servidores responsáveis pela pesquisa se manifestem </w:t>
      </w:r>
      <w:r>
        <w:rPr>
          <w:rFonts w:ascii="Liberation Serif" w:eastAsia="Segoe UI" w:hAnsi="Liberation Serif" w:cs="Arial"/>
          <w:sz w:val="24"/>
          <w:szCs w:val="24"/>
          <w:u w:val="single"/>
          <w:lang w:val="x-none" w:eastAsia="x-none" w:bidi="x-none"/>
        </w:rPr>
        <w:t>fundamentadamente</w:t>
      </w:r>
      <w:r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  <w:t xml:space="preserve"> sobre o teor da viabilidade e adequação de cada preço obtido, não apenas sob seu aspecto formal, como també</w:t>
      </w:r>
      <w:r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  <w:t>m sob seu teor, cotejando valores encontrados, avaliando, ante ao panorama do mercado, se existem valores inexequíveis ou excessivamente elevados, e indicando os critérios e metodologia (média, mediana ou menor) utilizada para obtenção dos preços de referê</w:t>
      </w:r>
      <w:r>
        <w:rPr>
          <w:rFonts w:ascii="Liberation Serif" w:eastAsia="Segoe UI" w:hAnsi="Liberation Serif" w:cs="Arial"/>
          <w:sz w:val="24"/>
          <w:szCs w:val="24"/>
          <w:lang w:val="x-none" w:eastAsia="x-none" w:bidi="x-none"/>
        </w:rPr>
        <w:t>ncia para a contratação, em busca da aferição da vantajosidade da contratação, conforme acórdãos n. 403/2013 e 1108/07 do Plenário do TCU e art. 2º, § 4° da IN/MP 05/14.</w:t>
      </w:r>
    </w:p>
  </w:comment>
  <w:comment w:id="21" w:author="Autor desconhecido" w:date="2020-09-09T17:47:00Z" w:initials="">
    <w:p w14:paraId="70729A82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 xml:space="preserve">Caso não tenha o acesso ao Sistema ETP Digital, deverá solicitar ao </w:t>
      </w:r>
      <w:hyperlink r:id="rId2" w:history="1">
        <w:r>
          <w:rPr>
            <w:rFonts w:ascii="Liberation Serif" w:eastAsia="SimSun" w:hAnsi="Liberation Serif" w:cs="Mangal"/>
            <w:sz w:val="20"/>
            <w:szCs w:val="24"/>
            <w:lang w:val="x-none" w:eastAsia="x-none" w:bidi="hi-IN"/>
          </w:rPr>
          <w:t>jose.virolli@ifbaiano.edu.br</w:t>
        </w:r>
      </w:hyperlink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, via e-mail institucional, informando CPF, nome completo e SIAPE.</w:t>
      </w:r>
    </w:p>
    <w:p w14:paraId="779E6BED" w14:textId="77777777" w:rsidR="00000000" w:rsidRDefault="00AE24DE">
      <w:pPr>
        <w:overflowPunct w:val="0"/>
        <w:spacing w:after="0" w:line="240" w:lineRule="auto"/>
        <w:rPr>
          <w:rFonts w:ascii="Liberation Serif" w:eastAsia="Segoe UI" w:hAnsi="Liberation Serif" w:cs="Tahoma"/>
          <w:kern w:val="0"/>
          <w:sz w:val="24"/>
          <w:szCs w:val="24"/>
          <w:lang/>
        </w:rPr>
      </w:pPr>
    </w:p>
    <w:p w14:paraId="139F694C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</w:pPr>
      <w:r>
        <w:rPr>
          <w:rFonts w:ascii="Liberation Serif" w:eastAsia="SimSun" w:hAnsi="Liberation Serif" w:cs="Mangal"/>
          <w:sz w:val="20"/>
          <w:szCs w:val="24"/>
          <w:lang w:val="x-none" w:eastAsia="x-none" w:bidi="hi-IN"/>
        </w:rPr>
        <w:t>VIDE MAIORES ORIENTAÇÕES NOS DOCUMENTOS ANEXOS</w:t>
      </w:r>
    </w:p>
  </w:comment>
  <w:comment w:id="22" w:author="Autor desconhecido" w:date="2019-01-04T12:11:00Z" w:initials="">
    <w:p w14:paraId="6597485F" w14:textId="77777777" w:rsidR="00000000" w:rsidRDefault="00AE24DE">
      <w:pPr>
        <w:overflowPunct w:val="0"/>
        <w:spacing w:after="0" w:line="240" w:lineRule="auto"/>
        <w:rPr>
          <w:rFonts w:ascii="Liberation Serif" w:eastAsia="SimSun" w:hAnsi="Liberation Serif" w:cs="Mangal"/>
          <w:sz w:val="20"/>
          <w:szCs w:val="24"/>
          <w:lang w:eastAsia="x-none" w:bidi="hi-IN"/>
        </w:rPr>
      </w:pPr>
      <w:r>
        <w:annotationRef/>
      </w:r>
      <w:r>
        <w:rPr>
          <w:rFonts w:ascii="Liberation Serif" w:eastAsia="SimSun" w:hAnsi="Liberation Serif" w:cs="Mangal"/>
          <w:sz w:val="20"/>
          <w:szCs w:val="24"/>
          <w:lang w:eastAsia="x-none" w:bidi="hi-IN"/>
        </w:rPr>
        <w:t>Todos os dados abaixo são obrigatórios, se o servidor detiver.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6F0E32" w15:done="0"/>
  <w15:commentEx w15:paraId="498056ED" w15:done="0"/>
  <w15:commentEx w15:paraId="5B9395DE" w15:done="0"/>
  <w15:commentEx w15:paraId="2D8D66DD" w15:done="0"/>
  <w15:commentEx w15:paraId="24B008C0" w15:done="0"/>
  <w15:commentEx w15:paraId="104C66C6" w15:done="0"/>
  <w15:commentEx w15:paraId="4873E6C7" w15:done="0"/>
  <w15:commentEx w15:paraId="5DAB592D" w15:done="0"/>
  <w15:commentEx w15:paraId="1188F415" w15:done="0"/>
  <w15:commentEx w15:paraId="4E089036" w15:done="0"/>
  <w15:commentEx w15:paraId="39914581" w15:done="0"/>
  <w15:commentEx w15:paraId="15243032" w15:done="0"/>
  <w15:commentEx w15:paraId="2859A8D6" w15:done="0"/>
  <w15:commentEx w15:paraId="12AED5D6" w15:done="0"/>
  <w15:commentEx w15:paraId="584E4024" w15:done="0"/>
  <w15:commentEx w15:paraId="045B0504" w15:done="0"/>
  <w15:commentEx w15:paraId="32DC20DA" w15:done="0"/>
  <w15:commentEx w15:paraId="41E52017" w15:done="0"/>
  <w15:commentEx w15:paraId="3D544F65" w15:done="0"/>
  <w15:commentEx w15:paraId="6676A3B1" w15:done="0"/>
  <w15:commentEx w15:paraId="139F694C" w15:done="0"/>
  <w15:commentEx w15:paraId="6597485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2FEE" w14:textId="77777777" w:rsidR="00000000" w:rsidRDefault="00AE24DE">
      <w:pPr>
        <w:spacing w:after="0" w:line="240" w:lineRule="auto"/>
      </w:pPr>
      <w:r>
        <w:separator/>
      </w:r>
    </w:p>
  </w:endnote>
  <w:endnote w:type="continuationSeparator" w:id="0">
    <w:p w14:paraId="5E699802" w14:textId="77777777" w:rsidR="00000000" w:rsidRDefault="00AE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6E30" w14:textId="77777777" w:rsidR="00000000" w:rsidRDefault="00AE24DE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 ARABIC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59AF05C5" w14:textId="77777777" w:rsidR="00000000" w:rsidRDefault="00AE24DE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Rodovia BR 101, KM 882, S/N, Caixa Postal nº 66 – Telefone: (73) 3665-1031 / 1032 </w:t>
    </w:r>
  </w:p>
  <w:p w14:paraId="2A7D4AB5" w14:textId="77777777" w:rsidR="00000000" w:rsidRDefault="00AE24DE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CEP 45985-970, Teixeira de Freitas/BA – </w:t>
    </w:r>
    <w:hyperlink r:id="rId1" w:history="1">
      <w:r>
        <w:rPr>
          <w:rStyle w:val="Hyperlink"/>
          <w:sz w:val="20"/>
          <w:szCs w:val="20"/>
        </w:rPr>
        <w:t>http://www.ifbaiano.edu.br/unidades/teixeira/</w:t>
      </w:r>
    </w:hyperlink>
  </w:p>
  <w:p w14:paraId="23A7CA10" w14:textId="77777777" w:rsidR="00000000" w:rsidRDefault="00AE24DE">
    <w:pPr>
      <w:pStyle w:val="Footer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14:paraId="76FF8626" w14:textId="77777777" w:rsidR="00000000" w:rsidRDefault="00AE24DE">
    <w:pPr>
      <w:pStyle w:val="Footer"/>
      <w:spacing w:after="0" w:line="240" w:lineRule="auto"/>
      <w:jc w:val="center"/>
    </w:pPr>
    <w:r>
      <w:rPr>
        <w:sz w:val="20"/>
        <w:szCs w:val="20"/>
      </w:rPr>
      <w:t>Atualização: 23 de agosto de 2022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4CE38" w14:textId="77777777" w:rsidR="00000000" w:rsidRDefault="00AE24DE">
      <w:pPr>
        <w:spacing w:after="0" w:line="240" w:lineRule="auto"/>
      </w:pPr>
      <w:r>
        <w:separator/>
      </w:r>
    </w:p>
  </w:footnote>
  <w:footnote w:type="continuationSeparator" w:id="0">
    <w:p w14:paraId="46C60F0B" w14:textId="77777777" w:rsidR="00000000" w:rsidRDefault="00AE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83CA" w14:textId="77777777" w:rsidR="00000000" w:rsidRDefault="00AE24DE">
    <w:pPr>
      <w:pStyle w:val="NormalWeb"/>
      <w:spacing w:after="0"/>
      <w:jc w:val="right"/>
      <w:rPr>
        <w:b/>
        <w:bCs/>
        <w:sz w:val="20"/>
        <w:szCs w:val="20"/>
      </w:rPr>
    </w:pPr>
    <w:r>
      <w:pict w14:anchorId="35B6C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3.3pt;width:82.35pt;height:69.3pt;z-index:-251658752;mso-wrap-distance-left:9.05pt;mso-wrap-distance-top:0;mso-wrap-distance-right:9.05pt;mso-wrap-distance-bottom:0;mso-position-horizontal:center;mso-position-horizontal-relative:text;mso-position-vertical:absolute;mso-position-vertical-relative:text" o:allowincell="f" filled="t">
          <v:fill opacity="0" color2="black"/>
          <v:imagedata r:id="rId1" o:title="" croptop="-166f" cropbottom="-166f" cropleft="-163f" cropright="-163f"/>
          <w10:wrap type="square"/>
        </v:shape>
      </w:pict>
    </w:r>
  </w:p>
  <w:p w14:paraId="15A4C25D" w14:textId="77777777" w:rsidR="00000000" w:rsidRDefault="00AE24DE">
    <w:pPr>
      <w:pStyle w:val="NormalWeb"/>
      <w:spacing w:after="0"/>
      <w:jc w:val="center"/>
      <w:rPr>
        <w:rFonts w:ascii="Arial" w:hAnsi="Arial" w:cs="Arial"/>
        <w:b/>
        <w:bCs/>
        <w:sz w:val="20"/>
        <w:szCs w:val="20"/>
      </w:rPr>
    </w:pPr>
  </w:p>
  <w:p w14:paraId="6CC1256D" w14:textId="77777777" w:rsidR="00000000" w:rsidRDefault="00AE24DE">
    <w:pPr>
      <w:pStyle w:val="NormalWeb"/>
      <w:spacing w:after="0"/>
      <w:jc w:val="right"/>
      <w:rPr>
        <w:rFonts w:ascii="Arial" w:hAnsi="Arial" w:cs="Arial"/>
        <w:b/>
        <w:bCs/>
        <w:sz w:val="20"/>
        <w:szCs w:val="20"/>
      </w:rPr>
    </w:pPr>
  </w:p>
  <w:p w14:paraId="48C5B6EA" w14:textId="77777777" w:rsidR="00000000" w:rsidRDefault="00AE24DE">
    <w:pPr>
      <w:pStyle w:val="NoSpacing"/>
      <w:spacing w:line="200" w:lineRule="atLeast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MINISTÉRIO DA EDUCAÇÃO</w:t>
    </w:r>
  </w:p>
  <w:p w14:paraId="640713A2" w14:textId="77777777" w:rsidR="00000000" w:rsidRDefault="00AE24DE">
    <w:pPr>
      <w:pStyle w:val="NoSpacing"/>
      <w:spacing w:line="200" w:lineRule="atLeast"/>
      <w:jc w:val="center"/>
      <w:rPr>
        <w:rFonts w:cs="Arial"/>
        <w:b/>
        <w:bCs/>
        <w:sz w:val="24"/>
        <w:szCs w:val="24"/>
      </w:rPr>
    </w:pPr>
    <w:r>
      <w:rPr>
        <w:rFonts w:cs="Arial"/>
        <w:b/>
        <w:bCs/>
        <w:sz w:val="24"/>
        <w:szCs w:val="24"/>
      </w:rPr>
      <w:t>SECRETARIA DE EDUCAÇÃO PROFISSION</w:t>
    </w:r>
    <w:r>
      <w:rPr>
        <w:rFonts w:cs="Arial"/>
        <w:b/>
        <w:bCs/>
        <w:sz w:val="24"/>
        <w:szCs w:val="24"/>
      </w:rPr>
      <w:t>AL E TECNOLÓGICA</w:t>
    </w:r>
  </w:p>
  <w:p w14:paraId="7E892BE1" w14:textId="77777777" w:rsidR="00000000" w:rsidRDefault="00AE24DE">
    <w:pPr>
      <w:pStyle w:val="NoSpacing"/>
      <w:spacing w:line="200" w:lineRule="atLeast"/>
      <w:jc w:val="center"/>
      <w:rPr>
        <w:rFonts w:cs="Arial"/>
        <w:b/>
        <w:bCs/>
        <w:sz w:val="24"/>
        <w:szCs w:val="24"/>
        <w:shd w:val="clear" w:color="auto" w:fill="FFFF00"/>
      </w:rPr>
    </w:pPr>
    <w:r>
      <w:rPr>
        <w:rFonts w:cs="Arial"/>
        <w:b/>
        <w:bCs/>
        <w:sz w:val="24"/>
        <w:szCs w:val="24"/>
      </w:rPr>
      <w:t>INSTITUTO FEDERAL DE EDUCAÇÃO, CIÊNCIA E TECNOLOGIA BAIANO</w:t>
    </w:r>
  </w:p>
  <w:p w14:paraId="6F654481" w14:textId="77777777" w:rsidR="00000000" w:rsidRDefault="00AE24DE">
    <w:pPr>
      <w:pStyle w:val="NoSpacing"/>
      <w:spacing w:line="200" w:lineRule="atLeast"/>
      <w:jc w:val="center"/>
      <w:rPr>
        <w:rFonts w:ascii="Times New Roman" w:hAnsi="Times New Roman" w:cs="Times New Roman"/>
        <w:sz w:val="20"/>
        <w:szCs w:val="20"/>
      </w:rPr>
    </w:pPr>
    <w:r>
      <w:rPr>
        <w:rFonts w:cs="Arial"/>
        <w:b/>
        <w:bCs/>
        <w:sz w:val="24"/>
        <w:szCs w:val="24"/>
        <w:shd w:val="clear" w:color="auto" w:fill="FFFF00"/>
      </w:rPr>
      <w:t>NÚCLEO DE ...</w:t>
    </w:r>
  </w:p>
  <w:p w14:paraId="1B020D1D" w14:textId="77777777" w:rsidR="00000000" w:rsidRDefault="00AE24DE">
    <w:pPr>
      <w:pStyle w:val="NoSpacing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3.%4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4.%5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5.%6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6.%7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7.%8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8.%9"/>
      <w:lvlJc w:val="left"/>
      <w:pPr>
        <w:tabs>
          <w:tab w:val="num" w:pos="4320"/>
        </w:tabs>
        <w:ind w:left="43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4DE"/>
    <w:rsid w:val="00A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41EFA626"/>
  <w15:chartTrackingRefBased/>
  <w15:docId w15:val="{BE5A96D2-8130-45DB-8005-6B9CDF3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val="pt-BR" w:eastAsia="zh-CN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DefaultParagraphFont0">
    <w:name w:val="Default Paragraph Font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DefaultParagraphFont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0"/>
    <w:rPr>
      <w:sz w:val="22"/>
      <w:szCs w:val="22"/>
    </w:rPr>
  </w:style>
  <w:style w:type="character" w:customStyle="1" w:styleId="RodapChar">
    <w:name w:val="Rodapé Char"/>
    <w:basedOn w:val="DefaultParagraphFont0"/>
    <w:rPr>
      <w:sz w:val="22"/>
      <w:szCs w:val="22"/>
    </w:rPr>
  </w:style>
  <w:style w:type="character" w:styleId="Hyperlink">
    <w:name w:val="Hyperlink"/>
    <w:basedOn w:val="DefaultParagraphFont0"/>
    <w:rPr>
      <w:color w:val="0563C1"/>
      <w:u w:val="single"/>
    </w:rPr>
  </w:style>
  <w:style w:type="character" w:customStyle="1" w:styleId="apple-converted-space">
    <w:name w:val="apple-converted-space"/>
    <w:basedOn w:val="DefaultParagraphFont0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styleId="FollowedHyperlink">
    <w:name w:val="FollowedHyperlink"/>
    <w:rPr>
      <w:color w:val="800000"/>
      <w:u w:val="single"/>
    </w:rPr>
  </w:style>
  <w:style w:type="character" w:customStyle="1" w:styleId="TextodecomentrioChar">
    <w:name w:val="Texto de comentário Char"/>
    <w:basedOn w:val="DefaultParagraphFont0"/>
    <w:rPr>
      <w:rFonts w:ascii="Calibri" w:eastAsia="Times New Roman" w:hAnsi="Calibri" w:cs="Calibri"/>
      <w:sz w:val="20"/>
      <w:szCs w:val="20"/>
      <w:lang w:bidi="ar-SA"/>
    </w:rPr>
  </w:style>
  <w:style w:type="character" w:customStyle="1" w:styleId="annotationreference">
    <w:name w:val="annotation reference"/>
    <w:basedOn w:val="DefaultParagraphFont0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rPr>
      <w:rFonts w:ascii="Calibri" w:eastAsia="Times New Roman" w:hAnsi="Calibri" w:cs="Calibri"/>
      <w:b/>
      <w:bCs/>
      <w:sz w:val="20"/>
      <w:szCs w:val="20"/>
      <w:lang w:bidi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Noto Sans Symbol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Noto Sans Symbols"/>
    </w:rPr>
  </w:style>
  <w:style w:type="character" w:customStyle="1" w:styleId="ListLabel6">
    <w:name w:val="ListLabel 6"/>
    <w:rPr>
      <w:rFonts w:cs="Noto Sans Symbols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Noto Sans Symbol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Noto Sans Symbols"/>
    </w:rPr>
  </w:style>
  <w:style w:type="character" w:customStyle="1" w:styleId="ListLabel21">
    <w:name w:val="ListLabel 21"/>
    <w:rPr>
      <w:rFonts w:cs="Noto Sans Symbol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Noto Sans Symbols"/>
    </w:rPr>
  </w:style>
  <w:style w:type="character" w:customStyle="1" w:styleId="ListLabel24">
    <w:name w:val="ListLabel 24"/>
    <w:rPr>
      <w:rFonts w:cs="Noto Sans Symbols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Noto Sans Symbols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Noto Sans Symbols"/>
    </w:rPr>
  </w:style>
  <w:style w:type="character" w:customStyle="1" w:styleId="ListLabel30">
    <w:name w:val="ListLabel 30"/>
    <w:rPr>
      <w:rFonts w:cs="Noto Sans Symbols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Noto Sans Symbols"/>
    </w:rPr>
  </w:style>
  <w:style w:type="character" w:customStyle="1" w:styleId="ListLabel33">
    <w:name w:val="ListLabel 33"/>
    <w:rPr>
      <w:rFonts w:cs="Noto Sans Symbol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Noto Sans Symbols"/>
    </w:rPr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56"/>
      <w:szCs w:val="56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eastAsia="Arial" w:hAnsi="Calibri" w:cs="Calibri"/>
      <w:kern w:val="2"/>
      <w:sz w:val="22"/>
      <w:szCs w:val="22"/>
      <w:lang w:val="pt-BR" w:eastAsia="zh-CN"/>
    </w:rPr>
  </w:style>
  <w:style w:type="paragraph" w:customStyle="1" w:styleId="HeaderandFooter">
    <w:name w:val="Header and Footer"/>
    <w:basedOn w:val="Normal"/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itle">
    <w:name w:val="Subtitle"/>
    <w:basedOn w:val="Normal"/>
    <w:next w:val="BodyText"/>
    <w:qFormat/>
    <w:pPr>
      <w:spacing w:before="60" w:after="120"/>
      <w:jc w:val="center"/>
    </w:pPr>
    <w:rPr>
      <w:sz w:val="36"/>
      <w:szCs w:val="36"/>
    </w:rPr>
  </w:style>
  <w:style w:type="paragraph" w:customStyle="1" w:styleId="annotationtext">
    <w:name w:val="annotation text"/>
    <w:basedOn w:val="Normal"/>
    <w:pPr>
      <w:spacing w:line="240" w:lineRule="auto"/>
    </w:pPr>
    <w:rPr>
      <w:sz w:val="20"/>
      <w:szCs w:val="2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styleId="ListParagraph">
    <w:name w:val="List Paragraph"/>
    <w:basedOn w:val="Normal"/>
    <w:qFormat/>
    <w:pPr>
      <w:spacing w:after="160" w:line="252" w:lineRule="auto"/>
      <w:ind w:left="720"/>
      <w:contextualSpacing/>
    </w:pPr>
    <w:rPr>
      <w:rFonts w:eastAsia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mailto:jose.virolli@ifbaiano.edu.br" TargetMode="External"/><Relationship Id="rId1" Type="http://schemas.openxmlformats.org/officeDocument/2006/relationships/hyperlink" Target="mailto:epc@teixeira.ifbaiano.edu.br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jean.moreira@ifbaiano.edu.br" TargetMode="External"/><Relationship Id="rId18" Type="http://schemas.openxmlformats.org/officeDocument/2006/relationships/hyperlink" Target="https://www2.comprasnet.gov.br/siasgnet-irp/consultarIRPComprasNet.do?method=inicia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hyperlink" Target="https://www.youtube.com/watch?v=XdQ6PS_hfNQ&amp;feature=youtu.be" TargetMode="External"/><Relationship Id="rId17" Type="http://schemas.openxmlformats.org/officeDocument/2006/relationships/hyperlink" Target="mailto:cristiano.ribas@ifbaiano.edu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daptdf@ifbaiano.edu.b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compras/pt-br/centrais-de-conteudo/manuais/manual-etp-digi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ncodeprecos.com.b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udrive.ifbaiano.edu.br/owncloud/index.php/s/p6e0ok0mWRPyBTo" TargetMode="External"/><Relationship Id="rId19" Type="http://schemas.openxmlformats.org/officeDocument/2006/relationships/hyperlink" Target="https://www2.comprasnet.gov.br/siasgnet-atasrp/public/principal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udrive.ifbaiano.edu.br/owncloud/index.php/s/p6e0ok0mWRPyBTo" TargetMode="External"/><Relationship Id="rId14" Type="http://schemas.openxmlformats.org/officeDocument/2006/relationships/hyperlink" Target="mailto:epc@teixeira.ifbaiano.edu.b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baiano.edu.br/unidades/teixei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1710</Words>
  <Characters>9750</Characters>
  <Application>Microsoft Office Word</Application>
  <DocSecurity>4</DocSecurity>
  <Lines>81</Lines>
  <Paragraphs>22</Paragraphs>
  <ScaleCrop>false</ScaleCrop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cp:lastModifiedBy>word</cp:lastModifiedBy>
  <cp:revision>2</cp:revision>
  <cp:lastPrinted>2015-09-23T07:32:00Z</cp:lastPrinted>
  <dcterms:created xsi:type="dcterms:W3CDTF">2024-01-25T14:54:00Z</dcterms:created>
  <dcterms:modified xsi:type="dcterms:W3CDTF">2024-01-25T14:54:00Z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